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89276"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32B7AD15"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4B77CDFA"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4E25D75F"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1CC43267" w14:textId="580FC924" w:rsidR="00A77251" w:rsidRPr="000E68D0" w:rsidRDefault="00690C57" w:rsidP="00A77251">
      <w:pPr>
        <w:adjustRightInd w:val="0"/>
        <w:snapToGrid w:val="0"/>
        <w:spacing w:before="240" w:after="240" w:line="276" w:lineRule="auto"/>
        <w:jc w:val="center"/>
        <w:rPr>
          <w:rFonts w:ascii="仿宋_GB2312" w:eastAsia="仿宋_GB2312" w:hAnsi="宋体" w:cs="Arial"/>
          <w:b/>
          <w:sz w:val="44"/>
        </w:rPr>
      </w:pPr>
      <w:r w:rsidRPr="000E68D0">
        <w:rPr>
          <w:rFonts w:ascii="仿宋_GB2312" w:eastAsia="仿宋_GB2312" w:hAnsi="宋体" w:cs="Arial" w:hint="eastAsia"/>
          <w:b/>
          <w:sz w:val="44"/>
        </w:rPr>
        <w:t>嘉</w:t>
      </w:r>
      <w:proofErr w:type="gramStart"/>
      <w:r w:rsidRPr="000E68D0">
        <w:rPr>
          <w:rFonts w:ascii="仿宋_GB2312" w:eastAsia="仿宋_GB2312" w:hAnsi="宋体" w:cs="Arial" w:hint="eastAsia"/>
          <w:b/>
          <w:sz w:val="44"/>
        </w:rPr>
        <w:t>实</w:t>
      </w:r>
      <w:r w:rsidR="00C079E6" w:rsidRPr="000E68D0">
        <w:rPr>
          <w:rFonts w:ascii="仿宋_GB2312" w:eastAsia="仿宋_GB2312" w:hAnsi="宋体" w:cs="Arial" w:hint="eastAsia"/>
          <w:b/>
          <w:sz w:val="44"/>
        </w:rPr>
        <w:t>创新</w:t>
      </w:r>
      <w:proofErr w:type="gramEnd"/>
      <w:r w:rsidR="00C079E6" w:rsidRPr="000E68D0">
        <w:rPr>
          <w:rFonts w:ascii="仿宋_GB2312" w:eastAsia="仿宋_GB2312" w:hAnsi="宋体" w:cs="Arial" w:hint="eastAsia"/>
          <w:b/>
          <w:sz w:val="44"/>
        </w:rPr>
        <w:t>动力混合型发起式</w:t>
      </w:r>
      <w:r w:rsidRPr="000E68D0">
        <w:rPr>
          <w:rFonts w:ascii="仿宋_GB2312" w:eastAsia="仿宋_GB2312" w:hAnsi="宋体" w:cs="Arial" w:hint="eastAsia"/>
          <w:b/>
          <w:sz w:val="44"/>
        </w:rPr>
        <w:t>证券投资基金</w:t>
      </w:r>
    </w:p>
    <w:p w14:paraId="2DCE598F" w14:textId="73228A53" w:rsidR="00505116" w:rsidRPr="000E68D0" w:rsidRDefault="00690C57" w:rsidP="00A77251">
      <w:pPr>
        <w:adjustRightInd w:val="0"/>
        <w:snapToGrid w:val="0"/>
        <w:spacing w:before="240" w:after="240" w:line="276" w:lineRule="auto"/>
        <w:jc w:val="center"/>
        <w:rPr>
          <w:rFonts w:ascii="仿宋_GB2312" w:eastAsia="仿宋_GB2312" w:hAnsi="宋体" w:cs="Arial"/>
          <w:b/>
          <w:sz w:val="44"/>
        </w:rPr>
      </w:pPr>
      <w:r w:rsidRPr="000E68D0">
        <w:rPr>
          <w:rFonts w:ascii="仿宋_GB2312" w:eastAsia="仿宋_GB2312" w:hAnsi="宋体" w:cs="Arial" w:hint="eastAsia"/>
          <w:b/>
          <w:sz w:val="44"/>
        </w:rPr>
        <w:t>托管协议</w:t>
      </w:r>
    </w:p>
    <w:p w14:paraId="604E8901" w14:textId="7C55040A"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3FEAE532"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31679657"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6DFF6603"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79F97C32"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731E74C9" w14:textId="77777777" w:rsidR="00505116" w:rsidRPr="000E68D0" w:rsidRDefault="00690C57">
      <w:pPr>
        <w:adjustRightInd w:val="0"/>
        <w:snapToGrid w:val="0"/>
        <w:spacing w:before="240" w:after="240" w:line="276" w:lineRule="auto"/>
        <w:jc w:val="center"/>
        <w:outlineLvl w:val="0"/>
        <w:rPr>
          <w:rFonts w:ascii="仿宋_GB2312" w:eastAsia="仿宋_GB2312" w:hAnsi="宋体" w:cs="Arial"/>
          <w:b/>
          <w:bCs/>
          <w:sz w:val="28"/>
        </w:rPr>
      </w:pPr>
      <w:r w:rsidRPr="000E68D0">
        <w:rPr>
          <w:rFonts w:ascii="仿宋_GB2312" w:eastAsia="仿宋_GB2312" w:hAnsi="宋体" w:cs="Arial" w:hint="eastAsia"/>
          <w:b/>
          <w:bCs/>
          <w:sz w:val="28"/>
        </w:rPr>
        <w:t>基金管理人：嘉</w:t>
      </w:r>
      <w:proofErr w:type="gramStart"/>
      <w:r w:rsidRPr="000E68D0">
        <w:rPr>
          <w:rFonts w:ascii="仿宋_GB2312" w:eastAsia="仿宋_GB2312" w:hAnsi="宋体" w:cs="Arial" w:hint="eastAsia"/>
          <w:b/>
          <w:bCs/>
          <w:sz w:val="28"/>
        </w:rPr>
        <w:t>实基金</w:t>
      </w:r>
      <w:proofErr w:type="gramEnd"/>
      <w:r w:rsidRPr="000E68D0">
        <w:rPr>
          <w:rFonts w:ascii="仿宋_GB2312" w:eastAsia="仿宋_GB2312" w:hAnsi="宋体" w:cs="Arial" w:hint="eastAsia"/>
          <w:b/>
          <w:bCs/>
          <w:sz w:val="28"/>
        </w:rPr>
        <w:t>管理有限公司</w:t>
      </w:r>
    </w:p>
    <w:p w14:paraId="72732F23" w14:textId="77777777" w:rsidR="00505116" w:rsidRPr="000E68D0" w:rsidRDefault="00690C57" w:rsidP="000E68D0">
      <w:pPr>
        <w:widowControl/>
        <w:adjustRightInd w:val="0"/>
        <w:snapToGrid w:val="0"/>
        <w:spacing w:before="240" w:after="240" w:line="276" w:lineRule="auto"/>
        <w:jc w:val="center"/>
        <w:rPr>
          <w:rFonts w:ascii="仿宋_GB2312" w:eastAsia="仿宋_GB2312" w:hAnsi="宋体" w:cs="Arial"/>
          <w:b/>
          <w:kern w:val="0"/>
          <w:sz w:val="28"/>
          <w:lang w:val="en-GB"/>
        </w:rPr>
      </w:pPr>
      <w:r w:rsidRPr="000E68D0">
        <w:rPr>
          <w:rFonts w:ascii="仿宋_GB2312" w:eastAsia="仿宋_GB2312" w:hAnsi="宋体" w:cs="Arial" w:hint="eastAsia"/>
          <w:b/>
          <w:kern w:val="0"/>
          <w:sz w:val="28"/>
          <w:lang w:val="en-GB"/>
        </w:rPr>
        <w:t>基金托管人：中国建设银行股份有限公司</w:t>
      </w:r>
    </w:p>
    <w:p w14:paraId="47E4561D"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1DC86EE1" w14:textId="77777777" w:rsidR="00505116" w:rsidRPr="000E68D0" w:rsidRDefault="0050511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4D4B626F" w14:textId="6903031A" w:rsidR="000B3C40" w:rsidRPr="000E68D0" w:rsidRDefault="001A313C" w:rsidP="000E68D0">
      <w:pPr>
        <w:widowControl/>
        <w:adjustRightInd w:val="0"/>
        <w:snapToGrid w:val="0"/>
        <w:spacing w:before="240" w:after="240" w:line="276" w:lineRule="auto"/>
        <w:ind w:firstLineChars="200" w:firstLine="560"/>
        <w:jc w:val="center"/>
        <w:rPr>
          <w:rFonts w:ascii="仿宋_GB2312" w:eastAsia="仿宋_GB2312" w:hAnsi="宋体" w:cs="Arial"/>
          <w:kern w:val="0"/>
          <w:sz w:val="28"/>
          <w:lang w:val="en-GB"/>
        </w:rPr>
      </w:pPr>
      <w:r w:rsidRPr="000E68D0">
        <w:rPr>
          <w:rFonts w:ascii="仿宋_GB2312" w:eastAsia="仿宋_GB2312" w:hAnsi="宋体" w:cs="Arial" w:hint="eastAsia"/>
          <w:kern w:val="0"/>
          <w:sz w:val="28"/>
          <w:lang w:val="en-GB"/>
        </w:rPr>
        <w:t>二零二</w:t>
      </w:r>
      <w:r w:rsidR="00C079E6" w:rsidRPr="000E68D0">
        <w:rPr>
          <w:rFonts w:ascii="仿宋_GB2312" w:eastAsia="仿宋_GB2312" w:hAnsi="宋体" w:cs="Arial" w:hint="eastAsia"/>
          <w:kern w:val="0"/>
          <w:sz w:val="28"/>
          <w:lang w:val="en-GB"/>
        </w:rPr>
        <w:t>三</w:t>
      </w:r>
      <w:r w:rsidRPr="000E68D0">
        <w:rPr>
          <w:rFonts w:ascii="仿宋_GB2312" w:eastAsia="仿宋_GB2312" w:hAnsi="宋体" w:cs="Arial" w:hint="eastAsia"/>
          <w:kern w:val="0"/>
          <w:sz w:val="28"/>
          <w:lang w:val="en-GB"/>
        </w:rPr>
        <w:t>年</w:t>
      </w:r>
      <w:r w:rsidR="00C079E6" w:rsidRPr="000E68D0">
        <w:rPr>
          <w:rFonts w:ascii="仿宋_GB2312" w:eastAsia="仿宋_GB2312" w:hAnsi="宋体" w:cs="Arial" w:hint="eastAsia"/>
          <w:kern w:val="0"/>
          <w:sz w:val="28"/>
          <w:lang w:val="en-GB"/>
        </w:rPr>
        <w:t>十</w:t>
      </w:r>
      <w:r w:rsidR="00F936CC" w:rsidRPr="000E68D0">
        <w:rPr>
          <w:rFonts w:ascii="仿宋_GB2312" w:eastAsia="仿宋_GB2312" w:hAnsi="宋体" w:cs="Arial" w:hint="eastAsia"/>
          <w:kern w:val="0"/>
          <w:sz w:val="28"/>
          <w:lang w:val="en-GB"/>
        </w:rPr>
        <w:t>一</w:t>
      </w:r>
      <w:r w:rsidRPr="000E68D0">
        <w:rPr>
          <w:rFonts w:ascii="仿宋_GB2312" w:eastAsia="仿宋_GB2312" w:hAnsi="宋体" w:cs="Arial" w:hint="eastAsia"/>
          <w:kern w:val="0"/>
          <w:sz w:val="28"/>
          <w:lang w:val="en-GB"/>
        </w:rPr>
        <w:t>月</w:t>
      </w:r>
    </w:p>
    <w:p w14:paraId="7E4BB835" w14:textId="1B344785" w:rsidR="006C2BB6" w:rsidRPr="000E68D0" w:rsidRDefault="006C2BB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3FA867D9" w14:textId="77777777" w:rsidR="00C079E6" w:rsidRPr="000E68D0" w:rsidRDefault="00C079E6" w:rsidP="000E68D0">
      <w:pPr>
        <w:widowControl/>
        <w:adjustRightInd w:val="0"/>
        <w:snapToGrid w:val="0"/>
        <w:spacing w:before="240" w:after="240" w:line="276" w:lineRule="auto"/>
        <w:jc w:val="center"/>
        <w:rPr>
          <w:rFonts w:ascii="仿宋_GB2312" w:eastAsia="仿宋_GB2312" w:hAnsi="宋体" w:cs="Arial"/>
          <w:kern w:val="0"/>
          <w:sz w:val="24"/>
          <w:lang w:val="en-GB"/>
        </w:rPr>
      </w:pPr>
    </w:p>
    <w:p w14:paraId="2E272A84" w14:textId="77777777" w:rsidR="000E68D0" w:rsidRDefault="000E68D0">
      <w:pPr>
        <w:widowControl/>
        <w:jc w:val="left"/>
        <w:rPr>
          <w:rFonts w:ascii="仿宋_GB2312" w:eastAsia="仿宋_GB2312"/>
          <w:b/>
          <w:bCs/>
          <w:sz w:val="30"/>
        </w:rPr>
      </w:pPr>
      <w:r>
        <w:rPr>
          <w:rFonts w:ascii="仿宋_GB2312" w:eastAsia="仿宋_GB2312"/>
          <w:b/>
          <w:bCs/>
          <w:sz w:val="30"/>
        </w:rPr>
        <w:br w:type="page"/>
      </w:r>
    </w:p>
    <w:p w14:paraId="600C296B" w14:textId="09020930" w:rsidR="00505116" w:rsidRPr="000E68D0" w:rsidRDefault="00690C57" w:rsidP="002212F7">
      <w:pPr>
        <w:jc w:val="center"/>
        <w:rPr>
          <w:rFonts w:ascii="仿宋_GB2312" w:eastAsia="仿宋_GB2312"/>
          <w:b/>
          <w:bCs/>
          <w:sz w:val="30"/>
        </w:rPr>
      </w:pPr>
      <w:r w:rsidRPr="000E68D0">
        <w:rPr>
          <w:rFonts w:ascii="仿宋_GB2312" w:eastAsia="仿宋_GB2312" w:hint="eastAsia"/>
          <w:b/>
          <w:bCs/>
          <w:sz w:val="30"/>
        </w:rPr>
        <w:lastRenderedPageBreak/>
        <w:t>目    录</w:t>
      </w:r>
    </w:p>
    <w:p w14:paraId="4A033D1F" w14:textId="6E48D827" w:rsidR="000E68D0" w:rsidRDefault="00690C57">
      <w:pPr>
        <w:pStyle w:val="23"/>
        <w:tabs>
          <w:tab w:val="right" w:leader="dot" w:pos="8494"/>
        </w:tabs>
        <w:rPr>
          <w:rFonts w:asciiTheme="minorHAnsi" w:eastAsiaTheme="minorEastAsia" w:hAnsiTheme="minorHAnsi" w:cstheme="minorBidi"/>
          <w:noProof/>
          <w:szCs w:val="22"/>
        </w:rPr>
      </w:pPr>
      <w:r w:rsidRPr="000E68D0">
        <w:rPr>
          <w:rFonts w:ascii="仿宋_GB2312" w:eastAsia="仿宋_GB2312" w:hAnsi="宋体" w:hint="eastAsia"/>
          <w:sz w:val="28"/>
        </w:rPr>
        <w:fldChar w:fldCharType="begin"/>
      </w:r>
      <w:r w:rsidRPr="000E68D0">
        <w:rPr>
          <w:rFonts w:ascii="仿宋_GB2312" w:eastAsia="仿宋_GB2312" w:hAnsi="宋体" w:hint="eastAsia"/>
          <w:sz w:val="28"/>
        </w:rPr>
        <w:instrText xml:space="preserve"> TOC \o "1-2" \h \z </w:instrText>
      </w:r>
      <w:r w:rsidRPr="000E68D0">
        <w:rPr>
          <w:rFonts w:ascii="仿宋_GB2312" w:eastAsia="仿宋_GB2312" w:hAnsi="宋体" w:hint="eastAsia"/>
          <w:sz w:val="28"/>
        </w:rPr>
        <w:fldChar w:fldCharType="separate"/>
      </w:r>
      <w:hyperlink w:anchor="_Toc151104989" w:history="1">
        <w:r w:rsidR="000E68D0" w:rsidRPr="0096195A">
          <w:rPr>
            <w:rStyle w:val="af6"/>
            <w:rFonts w:ascii="仿宋_GB2312" w:eastAsia="仿宋_GB2312"/>
            <w:noProof/>
          </w:rPr>
          <w:t>一、基金托管协议当事人</w:t>
        </w:r>
        <w:r w:rsidR="000E68D0">
          <w:rPr>
            <w:noProof/>
            <w:webHidden/>
          </w:rPr>
          <w:tab/>
        </w:r>
        <w:r w:rsidR="000E68D0">
          <w:rPr>
            <w:noProof/>
            <w:webHidden/>
          </w:rPr>
          <w:fldChar w:fldCharType="begin"/>
        </w:r>
        <w:r w:rsidR="000E68D0">
          <w:rPr>
            <w:noProof/>
            <w:webHidden/>
          </w:rPr>
          <w:instrText xml:space="preserve"> PAGEREF _Toc151104989 \h </w:instrText>
        </w:r>
        <w:r w:rsidR="000E68D0">
          <w:rPr>
            <w:noProof/>
            <w:webHidden/>
          </w:rPr>
        </w:r>
        <w:r w:rsidR="000E68D0">
          <w:rPr>
            <w:noProof/>
            <w:webHidden/>
          </w:rPr>
          <w:fldChar w:fldCharType="separate"/>
        </w:r>
        <w:r w:rsidR="00CC7829">
          <w:rPr>
            <w:noProof/>
            <w:webHidden/>
          </w:rPr>
          <w:t>3</w:t>
        </w:r>
        <w:r w:rsidR="000E68D0">
          <w:rPr>
            <w:noProof/>
            <w:webHidden/>
          </w:rPr>
          <w:fldChar w:fldCharType="end"/>
        </w:r>
      </w:hyperlink>
    </w:p>
    <w:p w14:paraId="794CA3E7" w14:textId="328F0482" w:rsidR="000E68D0" w:rsidRDefault="008F5B5A">
      <w:pPr>
        <w:pStyle w:val="23"/>
        <w:tabs>
          <w:tab w:val="right" w:leader="dot" w:pos="8494"/>
        </w:tabs>
        <w:rPr>
          <w:rFonts w:asciiTheme="minorHAnsi" w:eastAsiaTheme="minorEastAsia" w:hAnsiTheme="minorHAnsi" w:cstheme="minorBidi"/>
          <w:noProof/>
          <w:szCs w:val="22"/>
        </w:rPr>
      </w:pPr>
      <w:hyperlink w:anchor="_Toc151104990" w:history="1">
        <w:r w:rsidR="000E68D0" w:rsidRPr="0096195A">
          <w:rPr>
            <w:rStyle w:val="af6"/>
            <w:rFonts w:ascii="仿宋_GB2312" w:eastAsia="仿宋_GB2312"/>
            <w:noProof/>
          </w:rPr>
          <w:t>二、基金托管协议的依据、目的和原则</w:t>
        </w:r>
        <w:r w:rsidR="000E68D0">
          <w:rPr>
            <w:noProof/>
            <w:webHidden/>
          </w:rPr>
          <w:tab/>
        </w:r>
        <w:r w:rsidR="000E68D0">
          <w:rPr>
            <w:noProof/>
            <w:webHidden/>
          </w:rPr>
          <w:fldChar w:fldCharType="begin"/>
        </w:r>
        <w:r w:rsidR="000E68D0">
          <w:rPr>
            <w:noProof/>
            <w:webHidden/>
          </w:rPr>
          <w:instrText xml:space="preserve"> PAGEREF _Toc151104990 \h </w:instrText>
        </w:r>
        <w:r w:rsidR="000E68D0">
          <w:rPr>
            <w:noProof/>
            <w:webHidden/>
          </w:rPr>
        </w:r>
        <w:r w:rsidR="000E68D0">
          <w:rPr>
            <w:noProof/>
            <w:webHidden/>
          </w:rPr>
          <w:fldChar w:fldCharType="separate"/>
        </w:r>
        <w:r w:rsidR="00CC7829">
          <w:rPr>
            <w:noProof/>
            <w:webHidden/>
          </w:rPr>
          <w:t>4</w:t>
        </w:r>
        <w:r w:rsidR="000E68D0">
          <w:rPr>
            <w:noProof/>
            <w:webHidden/>
          </w:rPr>
          <w:fldChar w:fldCharType="end"/>
        </w:r>
      </w:hyperlink>
    </w:p>
    <w:p w14:paraId="0C38C65D" w14:textId="5F8AC634" w:rsidR="000E68D0" w:rsidRDefault="008F5B5A">
      <w:pPr>
        <w:pStyle w:val="23"/>
        <w:tabs>
          <w:tab w:val="right" w:leader="dot" w:pos="8494"/>
        </w:tabs>
        <w:rPr>
          <w:rFonts w:asciiTheme="minorHAnsi" w:eastAsiaTheme="minorEastAsia" w:hAnsiTheme="minorHAnsi" w:cstheme="minorBidi"/>
          <w:noProof/>
          <w:szCs w:val="22"/>
        </w:rPr>
      </w:pPr>
      <w:hyperlink w:anchor="_Toc151104991" w:history="1">
        <w:r w:rsidR="000E68D0" w:rsidRPr="0096195A">
          <w:rPr>
            <w:rStyle w:val="af6"/>
            <w:rFonts w:ascii="仿宋_GB2312" w:eastAsia="仿宋_GB2312"/>
            <w:noProof/>
          </w:rPr>
          <w:t>三、基金托管人对基金管理人的业务监督和核查</w:t>
        </w:r>
        <w:r w:rsidR="000E68D0">
          <w:rPr>
            <w:noProof/>
            <w:webHidden/>
          </w:rPr>
          <w:tab/>
        </w:r>
        <w:r w:rsidR="000E68D0">
          <w:rPr>
            <w:noProof/>
            <w:webHidden/>
          </w:rPr>
          <w:fldChar w:fldCharType="begin"/>
        </w:r>
        <w:r w:rsidR="000E68D0">
          <w:rPr>
            <w:noProof/>
            <w:webHidden/>
          </w:rPr>
          <w:instrText xml:space="preserve"> PAGEREF _Toc151104991 \h </w:instrText>
        </w:r>
        <w:r w:rsidR="000E68D0">
          <w:rPr>
            <w:noProof/>
            <w:webHidden/>
          </w:rPr>
        </w:r>
        <w:r w:rsidR="000E68D0">
          <w:rPr>
            <w:noProof/>
            <w:webHidden/>
          </w:rPr>
          <w:fldChar w:fldCharType="separate"/>
        </w:r>
        <w:r w:rsidR="00CC7829">
          <w:rPr>
            <w:noProof/>
            <w:webHidden/>
          </w:rPr>
          <w:t>5</w:t>
        </w:r>
        <w:r w:rsidR="000E68D0">
          <w:rPr>
            <w:noProof/>
            <w:webHidden/>
          </w:rPr>
          <w:fldChar w:fldCharType="end"/>
        </w:r>
      </w:hyperlink>
    </w:p>
    <w:p w14:paraId="791E918F" w14:textId="6D5F8192" w:rsidR="000E68D0" w:rsidRDefault="008F5B5A">
      <w:pPr>
        <w:pStyle w:val="23"/>
        <w:tabs>
          <w:tab w:val="right" w:leader="dot" w:pos="8494"/>
        </w:tabs>
        <w:rPr>
          <w:rFonts w:asciiTheme="minorHAnsi" w:eastAsiaTheme="minorEastAsia" w:hAnsiTheme="minorHAnsi" w:cstheme="minorBidi"/>
          <w:noProof/>
          <w:szCs w:val="22"/>
        </w:rPr>
      </w:pPr>
      <w:hyperlink w:anchor="_Toc151104992" w:history="1">
        <w:r w:rsidR="000E68D0" w:rsidRPr="0096195A">
          <w:rPr>
            <w:rStyle w:val="af6"/>
            <w:rFonts w:ascii="仿宋_GB2312" w:eastAsia="仿宋_GB2312"/>
            <w:noProof/>
          </w:rPr>
          <w:t>四、基金管理人对基金托管人的业务核查</w:t>
        </w:r>
        <w:r w:rsidR="000E68D0">
          <w:rPr>
            <w:noProof/>
            <w:webHidden/>
          </w:rPr>
          <w:tab/>
        </w:r>
        <w:r w:rsidR="000E68D0">
          <w:rPr>
            <w:noProof/>
            <w:webHidden/>
          </w:rPr>
          <w:fldChar w:fldCharType="begin"/>
        </w:r>
        <w:r w:rsidR="000E68D0">
          <w:rPr>
            <w:noProof/>
            <w:webHidden/>
          </w:rPr>
          <w:instrText xml:space="preserve"> PAGEREF _Toc151104992 \h </w:instrText>
        </w:r>
        <w:r w:rsidR="000E68D0">
          <w:rPr>
            <w:noProof/>
            <w:webHidden/>
          </w:rPr>
        </w:r>
        <w:r w:rsidR="000E68D0">
          <w:rPr>
            <w:noProof/>
            <w:webHidden/>
          </w:rPr>
          <w:fldChar w:fldCharType="separate"/>
        </w:r>
        <w:r w:rsidR="00CC7829">
          <w:rPr>
            <w:noProof/>
            <w:webHidden/>
          </w:rPr>
          <w:t>12</w:t>
        </w:r>
        <w:r w:rsidR="000E68D0">
          <w:rPr>
            <w:noProof/>
            <w:webHidden/>
          </w:rPr>
          <w:fldChar w:fldCharType="end"/>
        </w:r>
      </w:hyperlink>
    </w:p>
    <w:p w14:paraId="24C3087F" w14:textId="3AC708E0" w:rsidR="000E68D0" w:rsidRDefault="008F5B5A">
      <w:pPr>
        <w:pStyle w:val="23"/>
        <w:tabs>
          <w:tab w:val="right" w:leader="dot" w:pos="8494"/>
        </w:tabs>
        <w:rPr>
          <w:rFonts w:asciiTheme="minorHAnsi" w:eastAsiaTheme="minorEastAsia" w:hAnsiTheme="minorHAnsi" w:cstheme="minorBidi"/>
          <w:noProof/>
          <w:szCs w:val="22"/>
        </w:rPr>
      </w:pPr>
      <w:hyperlink w:anchor="_Toc151104993" w:history="1">
        <w:r w:rsidR="000E68D0" w:rsidRPr="0096195A">
          <w:rPr>
            <w:rStyle w:val="af6"/>
            <w:rFonts w:ascii="仿宋_GB2312" w:eastAsia="仿宋_GB2312"/>
            <w:noProof/>
          </w:rPr>
          <w:t>五、基金财产的保管</w:t>
        </w:r>
        <w:r w:rsidR="000E68D0">
          <w:rPr>
            <w:noProof/>
            <w:webHidden/>
          </w:rPr>
          <w:tab/>
        </w:r>
        <w:r w:rsidR="000E68D0">
          <w:rPr>
            <w:noProof/>
            <w:webHidden/>
          </w:rPr>
          <w:fldChar w:fldCharType="begin"/>
        </w:r>
        <w:r w:rsidR="000E68D0">
          <w:rPr>
            <w:noProof/>
            <w:webHidden/>
          </w:rPr>
          <w:instrText xml:space="preserve"> PAGEREF _Toc151104993 \h </w:instrText>
        </w:r>
        <w:r w:rsidR="000E68D0">
          <w:rPr>
            <w:noProof/>
            <w:webHidden/>
          </w:rPr>
        </w:r>
        <w:r w:rsidR="000E68D0">
          <w:rPr>
            <w:noProof/>
            <w:webHidden/>
          </w:rPr>
          <w:fldChar w:fldCharType="separate"/>
        </w:r>
        <w:r w:rsidR="00CC7829">
          <w:rPr>
            <w:noProof/>
            <w:webHidden/>
          </w:rPr>
          <w:t>13</w:t>
        </w:r>
        <w:r w:rsidR="000E68D0">
          <w:rPr>
            <w:noProof/>
            <w:webHidden/>
          </w:rPr>
          <w:fldChar w:fldCharType="end"/>
        </w:r>
      </w:hyperlink>
    </w:p>
    <w:p w14:paraId="6929B931" w14:textId="1672A5A7" w:rsidR="000E68D0" w:rsidRDefault="008F5B5A">
      <w:pPr>
        <w:pStyle w:val="23"/>
        <w:tabs>
          <w:tab w:val="right" w:leader="dot" w:pos="8494"/>
        </w:tabs>
        <w:rPr>
          <w:rFonts w:asciiTheme="minorHAnsi" w:eastAsiaTheme="minorEastAsia" w:hAnsiTheme="minorHAnsi" w:cstheme="minorBidi"/>
          <w:noProof/>
          <w:szCs w:val="22"/>
        </w:rPr>
      </w:pPr>
      <w:hyperlink w:anchor="_Toc151104994" w:history="1">
        <w:r w:rsidR="000E68D0" w:rsidRPr="0096195A">
          <w:rPr>
            <w:rStyle w:val="af6"/>
            <w:rFonts w:ascii="仿宋_GB2312" w:eastAsia="仿宋_GB2312"/>
            <w:noProof/>
          </w:rPr>
          <w:t>六、指令的发送、确认及执行</w:t>
        </w:r>
        <w:r w:rsidR="000E68D0">
          <w:rPr>
            <w:noProof/>
            <w:webHidden/>
          </w:rPr>
          <w:tab/>
        </w:r>
        <w:r w:rsidR="000E68D0">
          <w:rPr>
            <w:noProof/>
            <w:webHidden/>
          </w:rPr>
          <w:fldChar w:fldCharType="begin"/>
        </w:r>
        <w:r w:rsidR="000E68D0">
          <w:rPr>
            <w:noProof/>
            <w:webHidden/>
          </w:rPr>
          <w:instrText xml:space="preserve"> PAGEREF _Toc151104994 \h </w:instrText>
        </w:r>
        <w:r w:rsidR="000E68D0">
          <w:rPr>
            <w:noProof/>
            <w:webHidden/>
          </w:rPr>
        </w:r>
        <w:r w:rsidR="000E68D0">
          <w:rPr>
            <w:noProof/>
            <w:webHidden/>
          </w:rPr>
          <w:fldChar w:fldCharType="separate"/>
        </w:r>
        <w:r w:rsidR="00CC7829">
          <w:rPr>
            <w:noProof/>
            <w:webHidden/>
          </w:rPr>
          <w:t>16</w:t>
        </w:r>
        <w:r w:rsidR="000E68D0">
          <w:rPr>
            <w:noProof/>
            <w:webHidden/>
          </w:rPr>
          <w:fldChar w:fldCharType="end"/>
        </w:r>
      </w:hyperlink>
    </w:p>
    <w:p w14:paraId="00B26A77" w14:textId="5AADCBE4" w:rsidR="000E68D0" w:rsidRDefault="008F5B5A">
      <w:pPr>
        <w:pStyle w:val="23"/>
        <w:tabs>
          <w:tab w:val="right" w:leader="dot" w:pos="8494"/>
        </w:tabs>
        <w:rPr>
          <w:rFonts w:asciiTheme="minorHAnsi" w:eastAsiaTheme="minorEastAsia" w:hAnsiTheme="minorHAnsi" w:cstheme="minorBidi"/>
          <w:noProof/>
          <w:szCs w:val="22"/>
        </w:rPr>
      </w:pPr>
      <w:hyperlink w:anchor="_Toc151104995" w:history="1">
        <w:r w:rsidR="000E68D0" w:rsidRPr="0096195A">
          <w:rPr>
            <w:rStyle w:val="af6"/>
            <w:rFonts w:ascii="仿宋_GB2312" w:eastAsia="仿宋_GB2312"/>
            <w:noProof/>
          </w:rPr>
          <w:t>七、交易及清算交收安排</w:t>
        </w:r>
        <w:r w:rsidR="000E68D0">
          <w:rPr>
            <w:noProof/>
            <w:webHidden/>
          </w:rPr>
          <w:tab/>
        </w:r>
        <w:r w:rsidR="000E68D0">
          <w:rPr>
            <w:noProof/>
            <w:webHidden/>
          </w:rPr>
          <w:fldChar w:fldCharType="begin"/>
        </w:r>
        <w:r w:rsidR="000E68D0">
          <w:rPr>
            <w:noProof/>
            <w:webHidden/>
          </w:rPr>
          <w:instrText xml:space="preserve"> PAGEREF _Toc151104995 \h </w:instrText>
        </w:r>
        <w:r w:rsidR="000E68D0">
          <w:rPr>
            <w:noProof/>
            <w:webHidden/>
          </w:rPr>
        </w:r>
        <w:r w:rsidR="000E68D0">
          <w:rPr>
            <w:noProof/>
            <w:webHidden/>
          </w:rPr>
          <w:fldChar w:fldCharType="separate"/>
        </w:r>
        <w:r w:rsidR="00CC7829">
          <w:rPr>
            <w:noProof/>
            <w:webHidden/>
          </w:rPr>
          <w:t>18</w:t>
        </w:r>
        <w:r w:rsidR="000E68D0">
          <w:rPr>
            <w:noProof/>
            <w:webHidden/>
          </w:rPr>
          <w:fldChar w:fldCharType="end"/>
        </w:r>
      </w:hyperlink>
    </w:p>
    <w:p w14:paraId="57AB0CA7" w14:textId="057A47D6" w:rsidR="000E68D0" w:rsidRDefault="008F5B5A">
      <w:pPr>
        <w:pStyle w:val="23"/>
        <w:tabs>
          <w:tab w:val="right" w:leader="dot" w:pos="8494"/>
        </w:tabs>
        <w:rPr>
          <w:rFonts w:asciiTheme="minorHAnsi" w:eastAsiaTheme="minorEastAsia" w:hAnsiTheme="minorHAnsi" w:cstheme="minorBidi"/>
          <w:noProof/>
          <w:szCs w:val="22"/>
        </w:rPr>
      </w:pPr>
      <w:hyperlink w:anchor="_Toc151104996" w:history="1">
        <w:r w:rsidR="000E68D0" w:rsidRPr="0096195A">
          <w:rPr>
            <w:rStyle w:val="af6"/>
            <w:rFonts w:ascii="仿宋_GB2312" w:eastAsia="仿宋_GB2312"/>
            <w:noProof/>
          </w:rPr>
          <w:t>八、基金资产净值计算和会计核算</w:t>
        </w:r>
        <w:r w:rsidR="000E68D0">
          <w:rPr>
            <w:noProof/>
            <w:webHidden/>
          </w:rPr>
          <w:tab/>
        </w:r>
        <w:r w:rsidR="000E68D0">
          <w:rPr>
            <w:noProof/>
            <w:webHidden/>
          </w:rPr>
          <w:fldChar w:fldCharType="begin"/>
        </w:r>
        <w:r w:rsidR="000E68D0">
          <w:rPr>
            <w:noProof/>
            <w:webHidden/>
          </w:rPr>
          <w:instrText xml:space="preserve"> PAGEREF _Toc151104996 \h </w:instrText>
        </w:r>
        <w:r w:rsidR="000E68D0">
          <w:rPr>
            <w:noProof/>
            <w:webHidden/>
          </w:rPr>
        </w:r>
        <w:r w:rsidR="000E68D0">
          <w:rPr>
            <w:noProof/>
            <w:webHidden/>
          </w:rPr>
          <w:fldChar w:fldCharType="separate"/>
        </w:r>
        <w:r w:rsidR="00CC7829">
          <w:rPr>
            <w:noProof/>
            <w:webHidden/>
          </w:rPr>
          <w:t>23</w:t>
        </w:r>
        <w:r w:rsidR="000E68D0">
          <w:rPr>
            <w:noProof/>
            <w:webHidden/>
          </w:rPr>
          <w:fldChar w:fldCharType="end"/>
        </w:r>
      </w:hyperlink>
    </w:p>
    <w:p w14:paraId="58115010" w14:textId="66C82321" w:rsidR="000E68D0" w:rsidRDefault="008F5B5A">
      <w:pPr>
        <w:pStyle w:val="23"/>
        <w:tabs>
          <w:tab w:val="right" w:leader="dot" w:pos="8494"/>
        </w:tabs>
        <w:rPr>
          <w:rFonts w:asciiTheme="minorHAnsi" w:eastAsiaTheme="minorEastAsia" w:hAnsiTheme="minorHAnsi" w:cstheme="minorBidi"/>
          <w:noProof/>
          <w:szCs w:val="22"/>
        </w:rPr>
      </w:pPr>
      <w:hyperlink w:anchor="_Toc151104997" w:history="1">
        <w:r w:rsidR="000E68D0" w:rsidRPr="0096195A">
          <w:rPr>
            <w:rStyle w:val="af6"/>
            <w:rFonts w:ascii="仿宋_GB2312" w:eastAsia="仿宋_GB2312"/>
            <w:noProof/>
          </w:rPr>
          <w:t>九、基金收益分配</w:t>
        </w:r>
        <w:r w:rsidR="000E68D0">
          <w:rPr>
            <w:noProof/>
            <w:webHidden/>
          </w:rPr>
          <w:tab/>
        </w:r>
        <w:r w:rsidR="000E68D0">
          <w:rPr>
            <w:noProof/>
            <w:webHidden/>
          </w:rPr>
          <w:fldChar w:fldCharType="begin"/>
        </w:r>
        <w:r w:rsidR="000E68D0">
          <w:rPr>
            <w:noProof/>
            <w:webHidden/>
          </w:rPr>
          <w:instrText xml:space="preserve"> PAGEREF _Toc151104997 \h </w:instrText>
        </w:r>
        <w:r w:rsidR="000E68D0">
          <w:rPr>
            <w:noProof/>
            <w:webHidden/>
          </w:rPr>
        </w:r>
        <w:r w:rsidR="000E68D0">
          <w:rPr>
            <w:noProof/>
            <w:webHidden/>
          </w:rPr>
          <w:fldChar w:fldCharType="separate"/>
        </w:r>
        <w:r w:rsidR="00CC7829">
          <w:rPr>
            <w:noProof/>
            <w:webHidden/>
          </w:rPr>
          <w:t>29</w:t>
        </w:r>
        <w:r w:rsidR="000E68D0">
          <w:rPr>
            <w:noProof/>
            <w:webHidden/>
          </w:rPr>
          <w:fldChar w:fldCharType="end"/>
        </w:r>
      </w:hyperlink>
    </w:p>
    <w:p w14:paraId="2B39629C" w14:textId="410AEFB1" w:rsidR="000E68D0" w:rsidRDefault="008F5B5A">
      <w:pPr>
        <w:pStyle w:val="23"/>
        <w:tabs>
          <w:tab w:val="right" w:leader="dot" w:pos="8494"/>
        </w:tabs>
        <w:rPr>
          <w:rFonts w:asciiTheme="minorHAnsi" w:eastAsiaTheme="minorEastAsia" w:hAnsiTheme="minorHAnsi" w:cstheme="minorBidi"/>
          <w:noProof/>
          <w:szCs w:val="22"/>
        </w:rPr>
      </w:pPr>
      <w:hyperlink w:anchor="_Toc151104998" w:history="1">
        <w:r w:rsidR="000E68D0" w:rsidRPr="0096195A">
          <w:rPr>
            <w:rStyle w:val="af6"/>
            <w:rFonts w:ascii="仿宋_GB2312" w:eastAsia="仿宋_GB2312"/>
            <w:noProof/>
          </w:rPr>
          <w:t>十、基金信息披露</w:t>
        </w:r>
        <w:r w:rsidR="000E68D0">
          <w:rPr>
            <w:noProof/>
            <w:webHidden/>
          </w:rPr>
          <w:tab/>
        </w:r>
        <w:r w:rsidR="000E68D0">
          <w:rPr>
            <w:noProof/>
            <w:webHidden/>
          </w:rPr>
          <w:fldChar w:fldCharType="begin"/>
        </w:r>
        <w:r w:rsidR="000E68D0">
          <w:rPr>
            <w:noProof/>
            <w:webHidden/>
          </w:rPr>
          <w:instrText xml:space="preserve"> PAGEREF _Toc151104998 \h </w:instrText>
        </w:r>
        <w:r w:rsidR="000E68D0">
          <w:rPr>
            <w:noProof/>
            <w:webHidden/>
          </w:rPr>
        </w:r>
        <w:r w:rsidR="000E68D0">
          <w:rPr>
            <w:noProof/>
            <w:webHidden/>
          </w:rPr>
          <w:fldChar w:fldCharType="separate"/>
        </w:r>
        <w:r w:rsidR="00CC7829">
          <w:rPr>
            <w:noProof/>
            <w:webHidden/>
          </w:rPr>
          <w:t>30</w:t>
        </w:r>
        <w:r w:rsidR="000E68D0">
          <w:rPr>
            <w:noProof/>
            <w:webHidden/>
          </w:rPr>
          <w:fldChar w:fldCharType="end"/>
        </w:r>
      </w:hyperlink>
    </w:p>
    <w:p w14:paraId="5388CA9F" w14:textId="22B822E5" w:rsidR="000E68D0" w:rsidRDefault="008F5B5A">
      <w:pPr>
        <w:pStyle w:val="23"/>
        <w:tabs>
          <w:tab w:val="right" w:leader="dot" w:pos="8494"/>
        </w:tabs>
        <w:rPr>
          <w:rFonts w:asciiTheme="minorHAnsi" w:eastAsiaTheme="minorEastAsia" w:hAnsiTheme="minorHAnsi" w:cstheme="minorBidi"/>
          <w:noProof/>
          <w:szCs w:val="22"/>
        </w:rPr>
      </w:pPr>
      <w:hyperlink w:anchor="_Toc151104999" w:history="1">
        <w:r w:rsidR="000E68D0" w:rsidRPr="0096195A">
          <w:rPr>
            <w:rStyle w:val="af6"/>
            <w:rFonts w:ascii="仿宋_GB2312" w:eastAsia="仿宋_GB2312"/>
            <w:noProof/>
          </w:rPr>
          <w:t>十一、基金费用</w:t>
        </w:r>
        <w:r w:rsidR="000E68D0">
          <w:rPr>
            <w:noProof/>
            <w:webHidden/>
          </w:rPr>
          <w:tab/>
        </w:r>
        <w:r w:rsidR="000E68D0">
          <w:rPr>
            <w:noProof/>
            <w:webHidden/>
          </w:rPr>
          <w:fldChar w:fldCharType="begin"/>
        </w:r>
        <w:r w:rsidR="000E68D0">
          <w:rPr>
            <w:noProof/>
            <w:webHidden/>
          </w:rPr>
          <w:instrText xml:space="preserve"> PAGEREF _Toc151104999 \h </w:instrText>
        </w:r>
        <w:r w:rsidR="000E68D0">
          <w:rPr>
            <w:noProof/>
            <w:webHidden/>
          </w:rPr>
        </w:r>
        <w:r w:rsidR="000E68D0">
          <w:rPr>
            <w:noProof/>
            <w:webHidden/>
          </w:rPr>
          <w:fldChar w:fldCharType="separate"/>
        </w:r>
        <w:r w:rsidR="00CC7829">
          <w:rPr>
            <w:noProof/>
            <w:webHidden/>
          </w:rPr>
          <w:t>32</w:t>
        </w:r>
        <w:r w:rsidR="000E68D0">
          <w:rPr>
            <w:noProof/>
            <w:webHidden/>
          </w:rPr>
          <w:fldChar w:fldCharType="end"/>
        </w:r>
      </w:hyperlink>
    </w:p>
    <w:p w14:paraId="41D20855" w14:textId="625048D7" w:rsidR="000E68D0" w:rsidRDefault="008F5B5A">
      <w:pPr>
        <w:pStyle w:val="23"/>
        <w:tabs>
          <w:tab w:val="right" w:leader="dot" w:pos="8494"/>
        </w:tabs>
        <w:rPr>
          <w:rFonts w:asciiTheme="minorHAnsi" w:eastAsiaTheme="minorEastAsia" w:hAnsiTheme="minorHAnsi" w:cstheme="minorBidi"/>
          <w:noProof/>
          <w:szCs w:val="22"/>
        </w:rPr>
      </w:pPr>
      <w:hyperlink w:anchor="_Toc151105000" w:history="1">
        <w:r w:rsidR="000E68D0" w:rsidRPr="0096195A">
          <w:rPr>
            <w:rStyle w:val="af6"/>
            <w:rFonts w:ascii="仿宋_GB2312" w:eastAsia="仿宋_GB2312"/>
            <w:noProof/>
          </w:rPr>
          <w:t>十二、基金份额持有人名册的保管</w:t>
        </w:r>
        <w:r w:rsidR="000E68D0">
          <w:rPr>
            <w:noProof/>
            <w:webHidden/>
          </w:rPr>
          <w:tab/>
        </w:r>
        <w:r w:rsidR="000E68D0">
          <w:rPr>
            <w:noProof/>
            <w:webHidden/>
          </w:rPr>
          <w:fldChar w:fldCharType="begin"/>
        </w:r>
        <w:r w:rsidR="000E68D0">
          <w:rPr>
            <w:noProof/>
            <w:webHidden/>
          </w:rPr>
          <w:instrText xml:space="preserve"> PAGEREF _Toc151105000 \h </w:instrText>
        </w:r>
        <w:r w:rsidR="000E68D0">
          <w:rPr>
            <w:noProof/>
            <w:webHidden/>
          </w:rPr>
        </w:r>
        <w:r w:rsidR="000E68D0">
          <w:rPr>
            <w:noProof/>
            <w:webHidden/>
          </w:rPr>
          <w:fldChar w:fldCharType="separate"/>
        </w:r>
        <w:r w:rsidR="00CC7829">
          <w:rPr>
            <w:noProof/>
            <w:webHidden/>
          </w:rPr>
          <w:t>34</w:t>
        </w:r>
        <w:r w:rsidR="000E68D0">
          <w:rPr>
            <w:noProof/>
            <w:webHidden/>
          </w:rPr>
          <w:fldChar w:fldCharType="end"/>
        </w:r>
      </w:hyperlink>
    </w:p>
    <w:p w14:paraId="3196852A" w14:textId="5A1A645C" w:rsidR="000E68D0" w:rsidRDefault="008F5B5A">
      <w:pPr>
        <w:pStyle w:val="23"/>
        <w:tabs>
          <w:tab w:val="right" w:leader="dot" w:pos="8494"/>
        </w:tabs>
        <w:rPr>
          <w:rFonts w:asciiTheme="minorHAnsi" w:eastAsiaTheme="minorEastAsia" w:hAnsiTheme="minorHAnsi" w:cstheme="minorBidi"/>
          <w:noProof/>
          <w:szCs w:val="22"/>
        </w:rPr>
      </w:pPr>
      <w:hyperlink w:anchor="_Toc151105001" w:history="1">
        <w:r w:rsidR="000E68D0" w:rsidRPr="0096195A">
          <w:rPr>
            <w:rStyle w:val="af6"/>
            <w:rFonts w:ascii="仿宋_GB2312" w:eastAsia="仿宋_GB2312"/>
            <w:noProof/>
          </w:rPr>
          <w:t>十三、基金有关文件档案的保存</w:t>
        </w:r>
        <w:r w:rsidR="000E68D0">
          <w:rPr>
            <w:noProof/>
            <w:webHidden/>
          </w:rPr>
          <w:tab/>
        </w:r>
        <w:r w:rsidR="000E68D0">
          <w:rPr>
            <w:noProof/>
            <w:webHidden/>
          </w:rPr>
          <w:fldChar w:fldCharType="begin"/>
        </w:r>
        <w:r w:rsidR="000E68D0">
          <w:rPr>
            <w:noProof/>
            <w:webHidden/>
          </w:rPr>
          <w:instrText xml:space="preserve"> PAGEREF _Toc151105001 \h </w:instrText>
        </w:r>
        <w:r w:rsidR="000E68D0">
          <w:rPr>
            <w:noProof/>
            <w:webHidden/>
          </w:rPr>
        </w:r>
        <w:r w:rsidR="000E68D0">
          <w:rPr>
            <w:noProof/>
            <w:webHidden/>
          </w:rPr>
          <w:fldChar w:fldCharType="separate"/>
        </w:r>
        <w:r w:rsidR="00CC7829">
          <w:rPr>
            <w:noProof/>
            <w:webHidden/>
          </w:rPr>
          <w:t>34</w:t>
        </w:r>
        <w:r w:rsidR="000E68D0">
          <w:rPr>
            <w:noProof/>
            <w:webHidden/>
          </w:rPr>
          <w:fldChar w:fldCharType="end"/>
        </w:r>
      </w:hyperlink>
    </w:p>
    <w:p w14:paraId="767F5F64" w14:textId="5BF0E2C8" w:rsidR="000E68D0" w:rsidRDefault="008F5B5A">
      <w:pPr>
        <w:pStyle w:val="23"/>
        <w:tabs>
          <w:tab w:val="right" w:leader="dot" w:pos="8494"/>
        </w:tabs>
        <w:rPr>
          <w:rFonts w:asciiTheme="minorHAnsi" w:eastAsiaTheme="minorEastAsia" w:hAnsiTheme="minorHAnsi" w:cstheme="minorBidi"/>
          <w:noProof/>
          <w:szCs w:val="22"/>
        </w:rPr>
      </w:pPr>
      <w:hyperlink w:anchor="_Toc151105002" w:history="1">
        <w:r w:rsidR="000E68D0" w:rsidRPr="0096195A">
          <w:rPr>
            <w:rStyle w:val="af6"/>
            <w:rFonts w:ascii="仿宋_GB2312" w:eastAsia="仿宋_GB2312"/>
            <w:noProof/>
          </w:rPr>
          <w:t>十四、基金管理人和基金托管人的更换</w:t>
        </w:r>
        <w:r w:rsidR="000E68D0">
          <w:rPr>
            <w:noProof/>
            <w:webHidden/>
          </w:rPr>
          <w:tab/>
        </w:r>
        <w:r w:rsidR="000E68D0">
          <w:rPr>
            <w:noProof/>
            <w:webHidden/>
          </w:rPr>
          <w:fldChar w:fldCharType="begin"/>
        </w:r>
        <w:r w:rsidR="000E68D0">
          <w:rPr>
            <w:noProof/>
            <w:webHidden/>
          </w:rPr>
          <w:instrText xml:space="preserve"> PAGEREF _Toc151105002 \h </w:instrText>
        </w:r>
        <w:r w:rsidR="000E68D0">
          <w:rPr>
            <w:noProof/>
            <w:webHidden/>
          </w:rPr>
        </w:r>
        <w:r w:rsidR="000E68D0">
          <w:rPr>
            <w:noProof/>
            <w:webHidden/>
          </w:rPr>
          <w:fldChar w:fldCharType="separate"/>
        </w:r>
        <w:r w:rsidR="00CC7829">
          <w:rPr>
            <w:noProof/>
            <w:webHidden/>
          </w:rPr>
          <w:t>35</w:t>
        </w:r>
        <w:r w:rsidR="000E68D0">
          <w:rPr>
            <w:noProof/>
            <w:webHidden/>
          </w:rPr>
          <w:fldChar w:fldCharType="end"/>
        </w:r>
      </w:hyperlink>
    </w:p>
    <w:p w14:paraId="0F7B75F1" w14:textId="0D96C309" w:rsidR="000E68D0" w:rsidRDefault="008F5B5A">
      <w:pPr>
        <w:pStyle w:val="23"/>
        <w:tabs>
          <w:tab w:val="right" w:leader="dot" w:pos="8494"/>
        </w:tabs>
        <w:rPr>
          <w:rFonts w:asciiTheme="minorHAnsi" w:eastAsiaTheme="minorEastAsia" w:hAnsiTheme="minorHAnsi" w:cstheme="minorBidi"/>
          <w:noProof/>
          <w:szCs w:val="22"/>
        </w:rPr>
      </w:pPr>
      <w:hyperlink w:anchor="_Toc151105003" w:history="1">
        <w:r w:rsidR="000E68D0" w:rsidRPr="0096195A">
          <w:rPr>
            <w:rStyle w:val="af6"/>
            <w:rFonts w:ascii="仿宋_GB2312" w:eastAsia="仿宋_GB2312"/>
            <w:noProof/>
          </w:rPr>
          <w:t>十五、禁止行为</w:t>
        </w:r>
        <w:r w:rsidR="000E68D0">
          <w:rPr>
            <w:noProof/>
            <w:webHidden/>
          </w:rPr>
          <w:tab/>
        </w:r>
        <w:r w:rsidR="000E68D0">
          <w:rPr>
            <w:noProof/>
            <w:webHidden/>
          </w:rPr>
          <w:fldChar w:fldCharType="begin"/>
        </w:r>
        <w:r w:rsidR="000E68D0">
          <w:rPr>
            <w:noProof/>
            <w:webHidden/>
          </w:rPr>
          <w:instrText xml:space="preserve"> PAGEREF _Toc151105003 \h </w:instrText>
        </w:r>
        <w:r w:rsidR="000E68D0">
          <w:rPr>
            <w:noProof/>
            <w:webHidden/>
          </w:rPr>
        </w:r>
        <w:r w:rsidR="000E68D0">
          <w:rPr>
            <w:noProof/>
            <w:webHidden/>
          </w:rPr>
          <w:fldChar w:fldCharType="separate"/>
        </w:r>
        <w:r w:rsidR="00CC7829">
          <w:rPr>
            <w:noProof/>
            <w:webHidden/>
          </w:rPr>
          <w:t>37</w:t>
        </w:r>
        <w:r w:rsidR="000E68D0">
          <w:rPr>
            <w:noProof/>
            <w:webHidden/>
          </w:rPr>
          <w:fldChar w:fldCharType="end"/>
        </w:r>
      </w:hyperlink>
    </w:p>
    <w:p w14:paraId="0E6866B6" w14:textId="7D6DB6E1" w:rsidR="000E68D0" w:rsidRDefault="008F5B5A">
      <w:pPr>
        <w:pStyle w:val="23"/>
        <w:tabs>
          <w:tab w:val="right" w:leader="dot" w:pos="8494"/>
        </w:tabs>
        <w:rPr>
          <w:rFonts w:asciiTheme="minorHAnsi" w:eastAsiaTheme="minorEastAsia" w:hAnsiTheme="minorHAnsi" w:cstheme="minorBidi"/>
          <w:noProof/>
          <w:szCs w:val="22"/>
        </w:rPr>
      </w:pPr>
      <w:hyperlink w:anchor="_Toc151105004" w:history="1">
        <w:r w:rsidR="000E68D0" w:rsidRPr="0096195A">
          <w:rPr>
            <w:rStyle w:val="af6"/>
            <w:rFonts w:ascii="仿宋_GB2312" w:eastAsia="仿宋_GB2312"/>
            <w:noProof/>
          </w:rPr>
          <w:t>十六、托管协议的变更、终止与基金财产的清算</w:t>
        </w:r>
        <w:r w:rsidR="000E68D0">
          <w:rPr>
            <w:noProof/>
            <w:webHidden/>
          </w:rPr>
          <w:tab/>
        </w:r>
        <w:r w:rsidR="000E68D0">
          <w:rPr>
            <w:noProof/>
            <w:webHidden/>
          </w:rPr>
          <w:fldChar w:fldCharType="begin"/>
        </w:r>
        <w:r w:rsidR="000E68D0">
          <w:rPr>
            <w:noProof/>
            <w:webHidden/>
          </w:rPr>
          <w:instrText xml:space="preserve"> PAGEREF _Toc151105004 \h </w:instrText>
        </w:r>
        <w:r w:rsidR="000E68D0">
          <w:rPr>
            <w:noProof/>
            <w:webHidden/>
          </w:rPr>
        </w:r>
        <w:r w:rsidR="000E68D0">
          <w:rPr>
            <w:noProof/>
            <w:webHidden/>
          </w:rPr>
          <w:fldChar w:fldCharType="separate"/>
        </w:r>
        <w:r w:rsidR="00CC7829">
          <w:rPr>
            <w:noProof/>
            <w:webHidden/>
          </w:rPr>
          <w:t>38</w:t>
        </w:r>
        <w:r w:rsidR="000E68D0">
          <w:rPr>
            <w:noProof/>
            <w:webHidden/>
          </w:rPr>
          <w:fldChar w:fldCharType="end"/>
        </w:r>
      </w:hyperlink>
    </w:p>
    <w:p w14:paraId="56390485" w14:textId="7071F707" w:rsidR="000E68D0" w:rsidRDefault="008F5B5A">
      <w:pPr>
        <w:pStyle w:val="23"/>
        <w:tabs>
          <w:tab w:val="right" w:leader="dot" w:pos="8494"/>
        </w:tabs>
        <w:rPr>
          <w:rFonts w:asciiTheme="minorHAnsi" w:eastAsiaTheme="minorEastAsia" w:hAnsiTheme="minorHAnsi" w:cstheme="minorBidi"/>
          <w:noProof/>
          <w:szCs w:val="22"/>
        </w:rPr>
      </w:pPr>
      <w:hyperlink w:anchor="_Toc151105005" w:history="1">
        <w:r w:rsidR="000E68D0" w:rsidRPr="0096195A">
          <w:rPr>
            <w:rStyle w:val="af6"/>
            <w:rFonts w:ascii="仿宋_GB2312" w:eastAsia="仿宋_GB2312"/>
            <w:noProof/>
          </w:rPr>
          <w:t>十七、违约责任</w:t>
        </w:r>
        <w:r w:rsidR="000E68D0">
          <w:rPr>
            <w:noProof/>
            <w:webHidden/>
          </w:rPr>
          <w:tab/>
        </w:r>
        <w:r w:rsidR="000E68D0">
          <w:rPr>
            <w:noProof/>
            <w:webHidden/>
          </w:rPr>
          <w:fldChar w:fldCharType="begin"/>
        </w:r>
        <w:r w:rsidR="000E68D0">
          <w:rPr>
            <w:noProof/>
            <w:webHidden/>
          </w:rPr>
          <w:instrText xml:space="preserve"> PAGEREF _Toc151105005 \h </w:instrText>
        </w:r>
        <w:r w:rsidR="000E68D0">
          <w:rPr>
            <w:noProof/>
            <w:webHidden/>
          </w:rPr>
        </w:r>
        <w:r w:rsidR="000E68D0">
          <w:rPr>
            <w:noProof/>
            <w:webHidden/>
          </w:rPr>
          <w:fldChar w:fldCharType="separate"/>
        </w:r>
        <w:r w:rsidR="00CC7829">
          <w:rPr>
            <w:noProof/>
            <w:webHidden/>
          </w:rPr>
          <w:t>40</w:t>
        </w:r>
        <w:r w:rsidR="000E68D0">
          <w:rPr>
            <w:noProof/>
            <w:webHidden/>
          </w:rPr>
          <w:fldChar w:fldCharType="end"/>
        </w:r>
      </w:hyperlink>
    </w:p>
    <w:p w14:paraId="646F4931" w14:textId="09354660" w:rsidR="000E68D0" w:rsidRDefault="008F5B5A">
      <w:pPr>
        <w:pStyle w:val="23"/>
        <w:tabs>
          <w:tab w:val="right" w:leader="dot" w:pos="8494"/>
        </w:tabs>
        <w:rPr>
          <w:rFonts w:asciiTheme="minorHAnsi" w:eastAsiaTheme="minorEastAsia" w:hAnsiTheme="minorHAnsi" w:cstheme="minorBidi"/>
          <w:noProof/>
          <w:szCs w:val="22"/>
        </w:rPr>
      </w:pPr>
      <w:hyperlink w:anchor="_Toc151105006" w:history="1">
        <w:r w:rsidR="000E68D0" w:rsidRPr="0096195A">
          <w:rPr>
            <w:rStyle w:val="af6"/>
            <w:rFonts w:ascii="仿宋_GB2312" w:eastAsia="仿宋_GB2312"/>
            <w:noProof/>
          </w:rPr>
          <w:t>十八、争议解决方式</w:t>
        </w:r>
        <w:bookmarkStart w:id="0" w:name="_GoBack"/>
        <w:bookmarkEnd w:id="0"/>
        <w:r w:rsidR="000E68D0">
          <w:rPr>
            <w:noProof/>
            <w:webHidden/>
          </w:rPr>
          <w:tab/>
        </w:r>
        <w:r w:rsidR="000E68D0">
          <w:rPr>
            <w:noProof/>
            <w:webHidden/>
          </w:rPr>
          <w:fldChar w:fldCharType="begin"/>
        </w:r>
        <w:r w:rsidR="000E68D0">
          <w:rPr>
            <w:noProof/>
            <w:webHidden/>
          </w:rPr>
          <w:instrText xml:space="preserve"> PAGEREF _Toc151105006 \h </w:instrText>
        </w:r>
        <w:r w:rsidR="000E68D0">
          <w:rPr>
            <w:noProof/>
            <w:webHidden/>
          </w:rPr>
        </w:r>
        <w:r w:rsidR="000E68D0">
          <w:rPr>
            <w:noProof/>
            <w:webHidden/>
          </w:rPr>
          <w:fldChar w:fldCharType="separate"/>
        </w:r>
        <w:r w:rsidR="00CC7829">
          <w:rPr>
            <w:noProof/>
            <w:webHidden/>
          </w:rPr>
          <w:t>41</w:t>
        </w:r>
        <w:r w:rsidR="000E68D0">
          <w:rPr>
            <w:noProof/>
            <w:webHidden/>
          </w:rPr>
          <w:fldChar w:fldCharType="end"/>
        </w:r>
      </w:hyperlink>
    </w:p>
    <w:p w14:paraId="1C57C5B4" w14:textId="27518581" w:rsidR="000E68D0" w:rsidRDefault="008F5B5A">
      <w:pPr>
        <w:pStyle w:val="23"/>
        <w:tabs>
          <w:tab w:val="right" w:leader="dot" w:pos="8494"/>
        </w:tabs>
        <w:rPr>
          <w:rFonts w:asciiTheme="minorHAnsi" w:eastAsiaTheme="minorEastAsia" w:hAnsiTheme="minorHAnsi" w:cstheme="minorBidi"/>
          <w:noProof/>
          <w:szCs w:val="22"/>
        </w:rPr>
      </w:pPr>
      <w:hyperlink w:anchor="_Toc151105007" w:history="1">
        <w:r w:rsidR="000E68D0" w:rsidRPr="0096195A">
          <w:rPr>
            <w:rStyle w:val="af6"/>
            <w:rFonts w:ascii="仿宋_GB2312" w:eastAsia="仿宋_GB2312"/>
            <w:noProof/>
          </w:rPr>
          <w:t>十九、托管协议的效力</w:t>
        </w:r>
        <w:r w:rsidR="000E68D0">
          <w:rPr>
            <w:noProof/>
            <w:webHidden/>
          </w:rPr>
          <w:tab/>
        </w:r>
        <w:r w:rsidR="000E68D0">
          <w:rPr>
            <w:noProof/>
            <w:webHidden/>
          </w:rPr>
          <w:fldChar w:fldCharType="begin"/>
        </w:r>
        <w:r w:rsidR="000E68D0">
          <w:rPr>
            <w:noProof/>
            <w:webHidden/>
          </w:rPr>
          <w:instrText xml:space="preserve"> PAGEREF _Toc151105007 \h </w:instrText>
        </w:r>
        <w:r w:rsidR="000E68D0">
          <w:rPr>
            <w:noProof/>
            <w:webHidden/>
          </w:rPr>
        </w:r>
        <w:r w:rsidR="000E68D0">
          <w:rPr>
            <w:noProof/>
            <w:webHidden/>
          </w:rPr>
          <w:fldChar w:fldCharType="separate"/>
        </w:r>
        <w:r w:rsidR="00CC7829">
          <w:rPr>
            <w:noProof/>
            <w:webHidden/>
          </w:rPr>
          <w:t>41</w:t>
        </w:r>
        <w:r w:rsidR="000E68D0">
          <w:rPr>
            <w:noProof/>
            <w:webHidden/>
          </w:rPr>
          <w:fldChar w:fldCharType="end"/>
        </w:r>
      </w:hyperlink>
    </w:p>
    <w:p w14:paraId="6E484941" w14:textId="27C76C10" w:rsidR="000E68D0" w:rsidRDefault="008F5B5A">
      <w:pPr>
        <w:pStyle w:val="23"/>
        <w:tabs>
          <w:tab w:val="right" w:leader="dot" w:pos="8494"/>
        </w:tabs>
        <w:rPr>
          <w:rFonts w:asciiTheme="minorHAnsi" w:eastAsiaTheme="minorEastAsia" w:hAnsiTheme="minorHAnsi" w:cstheme="minorBidi"/>
          <w:noProof/>
          <w:szCs w:val="22"/>
        </w:rPr>
      </w:pPr>
      <w:hyperlink w:anchor="_Toc151105008" w:history="1">
        <w:r w:rsidR="000E68D0" w:rsidRPr="0096195A">
          <w:rPr>
            <w:rStyle w:val="af6"/>
            <w:rFonts w:ascii="仿宋_GB2312" w:eastAsia="仿宋_GB2312"/>
            <w:noProof/>
          </w:rPr>
          <w:t>二十、其他事项</w:t>
        </w:r>
        <w:r w:rsidR="000E68D0">
          <w:rPr>
            <w:noProof/>
            <w:webHidden/>
          </w:rPr>
          <w:tab/>
        </w:r>
        <w:r w:rsidR="000E68D0">
          <w:rPr>
            <w:noProof/>
            <w:webHidden/>
          </w:rPr>
          <w:fldChar w:fldCharType="begin"/>
        </w:r>
        <w:r w:rsidR="000E68D0">
          <w:rPr>
            <w:noProof/>
            <w:webHidden/>
          </w:rPr>
          <w:instrText xml:space="preserve"> PAGEREF _Toc151105008 \h </w:instrText>
        </w:r>
        <w:r w:rsidR="000E68D0">
          <w:rPr>
            <w:noProof/>
            <w:webHidden/>
          </w:rPr>
        </w:r>
        <w:r w:rsidR="000E68D0">
          <w:rPr>
            <w:noProof/>
            <w:webHidden/>
          </w:rPr>
          <w:fldChar w:fldCharType="separate"/>
        </w:r>
        <w:r w:rsidR="00CC7829">
          <w:rPr>
            <w:noProof/>
            <w:webHidden/>
          </w:rPr>
          <w:t>42</w:t>
        </w:r>
        <w:r w:rsidR="000E68D0">
          <w:rPr>
            <w:noProof/>
            <w:webHidden/>
          </w:rPr>
          <w:fldChar w:fldCharType="end"/>
        </w:r>
      </w:hyperlink>
    </w:p>
    <w:p w14:paraId="662F2BA9" w14:textId="4490AB0B" w:rsidR="000E68D0" w:rsidRDefault="008F5B5A">
      <w:pPr>
        <w:pStyle w:val="23"/>
        <w:tabs>
          <w:tab w:val="right" w:leader="dot" w:pos="8494"/>
        </w:tabs>
        <w:rPr>
          <w:rFonts w:asciiTheme="minorHAnsi" w:eastAsiaTheme="minorEastAsia" w:hAnsiTheme="minorHAnsi" w:cstheme="minorBidi"/>
          <w:noProof/>
          <w:szCs w:val="22"/>
        </w:rPr>
      </w:pPr>
      <w:hyperlink w:anchor="_Toc151105009" w:history="1">
        <w:r w:rsidR="000E68D0" w:rsidRPr="0096195A">
          <w:rPr>
            <w:rStyle w:val="af6"/>
            <w:rFonts w:ascii="仿宋_GB2312" w:eastAsia="仿宋_GB2312"/>
            <w:noProof/>
          </w:rPr>
          <w:t>二十一、托管协议的签订</w:t>
        </w:r>
        <w:r w:rsidR="000E68D0">
          <w:rPr>
            <w:noProof/>
            <w:webHidden/>
          </w:rPr>
          <w:tab/>
        </w:r>
        <w:r w:rsidR="000E68D0">
          <w:rPr>
            <w:noProof/>
            <w:webHidden/>
          </w:rPr>
          <w:fldChar w:fldCharType="begin"/>
        </w:r>
        <w:r w:rsidR="000E68D0">
          <w:rPr>
            <w:noProof/>
            <w:webHidden/>
          </w:rPr>
          <w:instrText xml:space="preserve"> PAGEREF _Toc151105009 \h </w:instrText>
        </w:r>
        <w:r w:rsidR="000E68D0">
          <w:rPr>
            <w:noProof/>
            <w:webHidden/>
          </w:rPr>
        </w:r>
        <w:r w:rsidR="000E68D0">
          <w:rPr>
            <w:noProof/>
            <w:webHidden/>
          </w:rPr>
          <w:fldChar w:fldCharType="separate"/>
        </w:r>
        <w:r w:rsidR="00CC7829">
          <w:rPr>
            <w:noProof/>
            <w:webHidden/>
          </w:rPr>
          <w:t>42</w:t>
        </w:r>
        <w:r w:rsidR="000E68D0">
          <w:rPr>
            <w:noProof/>
            <w:webHidden/>
          </w:rPr>
          <w:fldChar w:fldCharType="end"/>
        </w:r>
      </w:hyperlink>
    </w:p>
    <w:p w14:paraId="2F026472" w14:textId="5C2D1ECB" w:rsidR="000B3C40" w:rsidRPr="000E68D0" w:rsidRDefault="00690C57" w:rsidP="00E01E22">
      <w:pPr>
        <w:rPr>
          <w:rFonts w:ascii="仿宋_GB2312" w:eastAsia="仿宋_GB2312" w:hAnsi="宋体" w:cs="Arial"/>
          <w:kern w:val="0"/>
          <w:sz w:val="24"/>
        </w:rPr>
      </w:pPr>
      <w:r w:rsidRPr="000E68D0">
        <w:rPr>
          <w:rFonts w:ascii="仿宋_GB2312" w:eastAsia="仿宋_GB2312" w:hAnsi="宋体" w:hint="eastAsia"/>
          <w:sz w:val="28"/>
        </w:rPr>
        <w:fldChar w:fldCharType="end"/>
      </w:r>
    </w:p>
    <w:p w14:paraId="6A2FCC46" w14:textId="77777777" w:rsidR="00CC7829" w:rsidRDefault="00CC7829">
      <w:pPr>
        <w:widowControl/>
        <w:jc w:val="left"/>
        <w:rPr>
          <w:rFonts w:ascii="仿宋_GB2312" w:eastAsia="仿宋_GB2312" w:hAnsi="宋体" w:cs="Arial"/>
          <w:kern w:val="0"/>
          <w:sz w:val="24"/>
        </w:rPr>
      </w:pPr>
      <w:r>
        <w:rPr>
          <w:rFonts w:ascii="仿宋_GB2312" w:eastAsia="仿宋_GB2312" w:hAnsi="宋体" w:cs="Arial"/>
          <w:kern w:val="0"/>
          <w:sz w:val="24"/>
        </w:rPr>
        <w:br w:type="page"/>
      </w:r>
    </w:p>
    <w:p w14:paraId="59671B53" w14:textId="51B00EAC" w:rsidR="00505116" w:rsidRPr="000E68D0" w:rsidRDefault="00690C57" w:rsidP="009A7A2C">
      <w:pPr>
        <w:ind w:firstLine="420"/>
        <w:rPr>
          <w:rFonts w:ascii="仿宋_GB2312" w:eastAsia="仿宋_GB2312" w:hAnsi="宋体" w:cs="Arial"/>
          <w:kern w:val="0"/>
          <w:sz w:val="24"/>
        </w:rPr>
      </w:pPr>
      <w:r w:rsidRPr="000E68D0">
        <w:rPr>
          <w:rFonts w:ascii="仿宋_GB2312" w:eastAsia="仿宋_GB2312" w:hAnsi="宋体" w:cs="Arial" w:hint="eastAsia"/>
          <w:kern w:val="0"/>
          <w:sz w:val="24"/>
        </w:rPr>
        <w:lastRenderedPageBreak/>
        <w:t>鉴于嘉</w:t>
      </w:r>
      <w:proofErr w:type="gramStart"/>
      <w:r w:rsidRPr="000E68D0">
        <w:rPr>
          <w:rFonts w:ascii="仿宋_GB2312" w:eastAsia="仿宋_GB2312" w:hAnsi="宋体" w:cs="Arial" w:hint="eastAsia"/>
          <w:kern w:val="0"/>
          <w:sz w:val="24"/>
        </w:rPr>
        <w:t>实基金</w:t>
      </w:r>
      <w:proofErr w:type="gramEnd"/>
      <w:r w:rsidRPr="000E68D0">
        <w:rPr>
          <w:rFonts w:ascii="仿宋_GB2312" w:eastAsia="仿宋_GB2312" w:hAnsi="宋体" w:cs="Arial" w:hint="eastAsia"/>
          <w:kern w:val="0"/>
          <w:sz w:val="24"/>
        </w:rPr>
        <w:t>管理有限公司系一家依照中国法律合法成立并有效存续的有限责任公司，按照相关法律法规的规定具备担任基金管理人的资格和能力，拟募集发行嘉</w:t>
      </w:r>
      <w:proofErr w:type="gramStart"/>
      <w:r w:rsidRPr="000E68D0">
        <w:rPr>
          <w:rFonts w:ascii="仿宋_GB2312" w:eastAsia="仿宋_GB2312" w:hAnsi="宋体" w:cs="Arial" w:hint="eastAsia"/>
          <w:kern w:val="0"/>
          <w:sz w:val="24"/>
        </w:rPr>
        <w:t>实</w:t>
      </w:r>
      <w:r w:rsidR="00C079E6" w:rsidRPr="000E68D0">
        <w:rPr>
          <w:rFonts w:ascii="仿宋_GB2312" w:eastAsia="仿宋_GB2312" w:hAnsi="宋体" w:cs="Arial" w:hint="eastAsia"/>
          <w:kern w:val="0"/>
          <w:sz w:val="24"/>
        </w:rPr>
        <w:t>创新</w:t>
      </w:r>
      <w:proofErr w:type="gramEnd"/>
      <w:r w:rsidR="00C079E6" w:rsidRPr="000E68D0">
        <w:rPr>
          <w:rFonts w:ascii="仿宋_GB2312" w:eastAsia="仿宋_GB2312" w:hAnsi="宋体" w:cs="Arial" w:hint="eastAsia"/>
          <w:kern w:val="0"/>
          <w:sz w:val="24"/>
        </w:rPr>
        <w:t>动力混合型发起式</w:t>
      </w:r>
      <w:r w:rsidRPr="000E68D0">
        <w:rPr>
          <w:rFonts w:ascii="仿宋_GB2312" w:eastAsia="仿宋_GB2312" w:hAnsi="宋体" w:cs="Arial" w:hint="eastAsia"/>
          <w:kern w:val="0"/>
          <w:sz w:val="24"/>
        </w:rPr>
        <w:t>证券投资基金；</w:t>
      </w:r>
    </w:p>
    <w:p w14:paraId="6390201C" w14:textId="77777777" w:rsidR="00505116" w:rsidRPr="000E68D0" w:rsidRDefault="00690C57">
      <w:pPr>
        <w:widowControl/>
        <w:adjustRightInd w:val="0"/>
        <w:snapToGrid w:val="0"/>
        <w:spacing w:before="240" w:after="240" w:line="276" w:lineRule="auto"/>
        <w:ind w:firstLineChars="200" w:firstLine="480"/>
        <w:rPr>
          <w:rFonts w:ascii="仿宋_GB2312" w:eastAsia="仿宋_GB2312" w:hAnsi="宋体" w:cs="Arial"/>
          <w:kern w:val="0"/>
          <w:sz w:val="24"/>
        </w:rPr>
      </w:pPr>
      <w:r w:rsidRPr="000E68D0">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14:paraId="2B2CADA9" w14:textId="008FCABD" w:rsidR="00505116" w:rsidRPr="000E68D0" w:rsidRDefault="00690C57">
      <w:pPr>
        <w:widowControl/>
        <w:adjustRightInd w:val="0"/>
        <w:snapToGrid w:val="0"/>
        <w:spacing w:before="240" w:after="240" w:line="276" w:lineRule="auto"/>
        <w:ind w:firstLineChars="200" w:firstLine="480"/>
        <w:rPr>
          <w:rFonts w:ascii="仿宋_GB2312" w:eastAsia="仿宋_GB2312" w:hAnsi="宋体" w:cs="Arial"/>
          <w:kern w:val="0"/>
          <w:sz w:val="24"/>
        </w:rPr>
      </w:pPr>
      <w:r w:rsidRPr="000E68D0">
        <w:rPr>
          <w:rFonts w:ascii="仿宋_GB2312" w:eastAsia="仿宋_GB2312" w:hAnsi="宋体" w:cs="Arial" w:hint="eastAsia"/>
          <w:kern w:val="0"/>
          <w:sz w:val="24"/>
        </w:rPr>
        <w:t>鉴于嘉</w:t>
      </w:r>
      <w:proofErr w:type="gramStart"/>
      <w:r w:rsidRPr="000E68D0">
        <w:rPr>
          <w:rFonts w:ascii="仿宋_GB2312" w:eastAsia="仿宋_GB2312" w:hAnsi="宋体" w:cs="Arial" w:hint="eastAsia"/>
          <w:kern w:val="0"/>
          <w:sz w:val="24"/>
        </w:rPr>
        <w:t>实基金</w:t>
      </w:r>
      <w:proofErr w:type="gramEnd"/>
      <w:r w:rsidRPr="000E68D0">
        <w:rPr>
          <w:rFonts w:ascii="仿宋_GB2312" w:eastAsia="仿宋_GB2312" w:hAnsi="宋体" w:cs="Arial" w:hint="eastAsia"/>
          <w:kern w:val="0"/>
          <w:sz w:val="24"/>
        </w:rPr>
        <w:t>管理有限公司拟担任嘉</w:t>
      </w:r>
      <w:proofErr w:type="gramStart"/>
      <w:r w:rsidRPr="000E68D0">
        <w:rPr>
          <w:rFonts w:ascii="仿宋_GB2312" w:eastAsia="仿宋_GB2312" w:hAnsi="宋体" w:cs="Arial" w:hint="eastAsia"/>
          <w:kern w:val="0"/>
          <w:sz w:val="24"/>
        </w:rPr>
        <w:t>实</w:t>
      </w:r>
      <w:r w:rsidR="00C079E6" w:rsidRPr="000E68D0">
        <w:rPr>
          <w:rFonts w:ascii="仿宋_GB2312" w:eastAsia="仿宋_GB2312" w:hAnsi="宋体" w:cs="Arial" w:hint="eastAsia"/>
          <w:kern w:val="0"/>
          <w:sz w:val="24"/>
        </w:rPr>
        <w:t>创新</w:t>
      </w:r>
      <w:proofErr w:type="gramEnd"/>
      <w:r w:rsidR="00C079E6" w:rsidRPr="000E68D0">
        <w:rPr>
          <w:rFonts w:ascii="仿宋_GB2312" w:eastAsia="仿宋_GB2312" w:hAnsi="宋体" w:cs="Arial" w:hint="eastAsia"/>
          <w:kern w:val="0"/>
          <w:sz w:val="24"/>
        </w:rPr>
        <w:t>动力混合型发起式</w:t>
      </w:r>
      <w:r w:rsidRPr="000E68D0">
        <w:rPr>
          <w:rFonts w:ascii="仿宋_GB2312" w:eastAsia="仿宋_GB2312" w:hAnsi="宋体" w:cs="Arial" w:hint="eastAsia"/>
          <w:kern w:val="0"/>
          <w:sz w:val="24"/>
        </w:rPr>
        <w:t>证券投资基金的基金管理人，中国建设银行股份有限公司拟担任嘉</w:t>
      </w:r>
      <w:proofErr w:type="gramStart"/>
      <w:r w:rsidRPr="000E68D0">
        <w:rPr>
          <w:rFonts w:ascii="仿宋_GB2312" w:eastAsia="仿宋_GB2312" w:hAnsi="宋体" w:cs="Arial" w:hint="eastAsia"/>
          <w:kern w:val="0"/>
          <w:sz w:val="24"/>
        </w:rPr>
        <w:t>实</w:t>
      </w:r>
      <w:r w:rsidR="00C079E6" w:rsidRPr="000E68D0">
        <w:rPr>
          <w:rFonts w:ascii="仿宋_GB2312" w:eastAsia="仿宋_GB2312" w:hAnsi="宋体" w:cs="Arial" w:hint="eastAsia"/>
          <w:kern w:val="0"/>
          <w:sz w:val="24"/>
        </w:rPr>
        <w:t>创新</w:t>
      </w:r>
      <w:proofErr w:type="gramEnd"/>
      <w:r w:rsidR="00C079E6" w:rsidRPr="000E68D0">
        <w:rPr>
          <w:rFonts w:ascii="仿宋_GB2312" w:eastAsia="仿宋_GB2312" w:hAnsi="宋体" w:cs="Arial" w:hint="eastAsia"/>
          <w:kern w:val="0"/>
          <w:sz w:val="24"/>
        </w:rPr>
        <w:t>动力混合型发起式</w:t>
      </w:r>
      <w:r w:rsidRPr="000E68D0">
        <w:rPr>
          <w:rFonts w:ascii="仿宋_GB2312" w:eastAsia="仿宋_GB2312" w:hAnsi="宋体" w:cs="Arial" w:hint="eastAsia"/>
          <w:kern w:val="0"/>
          <w:sz w:val="24"/>
        </w:rPr>
        <w:t>证券投资基金的基金托管人；</w:t>
      </w:r>
    </w:p>
    <w:p w14:paraId="6C0EFDEA" w14:textId="4E3F97DE" w:rsidR="00505116" w:rsidRPr="000E68D0" w:rsidRDefault="00690C57">
      <w:pPr>
        <w:widowControl/>
        <w:adjustRightInd w:val="0"/>
        <w:snapToGrid w:val="0"/>
        <w:spacing w:before="240" w:after="240" w:line="276" w:lineRule="auto"/>
        <w:ind w:firstLineChars="200" w:firstLine="480"/>
        <w:rPr>
          <w:rFonts w:ascii="仿宋_GB2312" w:eastAsia="仿宋_GB2312" w:hAnsi="宋体" w:cs="Arial"/>
          <w:kern w:val="0"/>
          <w:sz w:val="24"/>
        </w:rPr>
      </w:pPr>
      <w:r w:rsidRPr="000E68D0">
        <w:rPr>
          <w:rFonts w:ascii="仿宋_GB2312" w:eastAsia="仿宋_GB2312" w:hAnsi="宋体" w:cs="Arial" w:hint="eastAsia"/>
          <w:kern w:val="0"/>
          <w:sz w:val="24"/>
        </w:rPr>
        <w:t>为</w:t>
      </w:r>
      <w:proofErr w:type="gramStart"/>
      <w:r w:rsidRPr="000E68D0">
        <w:rPr>
          <w:rFonts w:ascii="仿宋_GB2312" w:eastAsia="仿宋_GB2312" w:hAnsi="宋体" w:cs="Arial" w:hint="eastAsia"/>
          <w:kern w:val="0"/>
          <w:sz w:val="24"/>
        </w:rPr>
        <w:t>明确嘉实</w:t>
      </w:r>
      <w:r w:rsidR="00C079E6" w:rsidRPr="000E68D0">
        <w:rPr>
          <w:rFonts w:ascii="仿宋_GB2312" w:eastAsia="仿宋_GB2312" w:hAnsi="宋体" w:cs="Arial" w:hint="eastAsia"/>
          <w:kern w:val="0"/>
          <w:sz w:val="24"/>
        </w:rPr>
        <w:t>创新</w:t>
      </w:r>
      <w:proofErr w:type="gramEnd"/>
      <w:r w:rsidR="00C079E6" w:rsidRPr="000E68D0">
        <w:rPr>
          <w:rFonts w:ascii="仿宋_GB2312" w:eastAsia="仿宋_GB2312" w:hAnsi="宋体" w:cs="Arial" w:hint="eastAsia"/>
          <w:kern w:val="0"/>
          <w:sz w:val="24"/>
        </w:rPr>
        <w:t>动力混合型发起式</w:t>
      </w:r>
      <w:r w:rsidRPr="000E68D0">
        <w:rPr>
          <w:rFonts w:ascii="仿宋_GB2312" w:eastAsia="仿宋_GB2312" w:hAnsi="宋体" w:cs="Arial" w:hint="eastAsia"/>
          <w:kern w:val="0"/>
          <w:sz w:val="24"/>
        </w:rPr>
        <w:t>证券投资基金的基金管理人和基金托管人之间的权利义务关系，特制订本托管协议；</w:t>
      </w:r>
    </w:p>
    <w:p w14:paraId="162FEBD4" w14:textId="4093680F" w:rsidR="00505116" w:rsidRPr="000E68D0" w:rsidRDefault="00690C57">
      <w:pPr>
        <w:widowControl/>
        <w:adjustRightInd w:val="0"/>
        <w:snapToGrid w:val="0"/>
        <w:spacing w:before="240" w:after="240" w:line="276" w:lineRule="auto"/>
        <w:ind w:firstLineChars="200" w:firstLine="480"/>
        <w:rPr>
          <w:rFonts w:ascii="仿宋_GB2312" w:eastAsia="仿宋_GB2312" w:hAnsi="宋体" w:cs="Arial"/>
          <w:kern w:val="0"/>
          <w:sz w:val="24"/>
          <w:lang w:val="en-GB"/>
        </w:rPr>
      </w:pPr>
      <w:r w:rsidRPr="000E68D0">
        <w:rPr>
          <w:rFonts w:ascii="仿宋_GB2312" w:eastAsia="仿宋_GB2312" w:hAnsi="宋体" w:cs="Arial" w:hint="eastAsia"/>
          <w:kern w:val="0"/>
          <w:sz w:val="24"/>
          <w:lang w:val="en-GB"/>
        </w:rPr>
        <w:t>除非另有约定，《嘉实</w:t>
      </w:r>
      <w:r w:rsidR="00C079E6" w:rsidRPr="000E68D0">
        <w:rPr>
          <w:rFonts w:ascii="仿宋_GB2312" w:eastAsia="仿宋_GB2312" w:hAnsi="宋体" w:cs="Arial" w:hint="eastAsia"/>
          <w:kern w:val="0"/>
          <w:sz w:val="24"/>
          <w:lang w:val="en-GB"/>
        </w:rPr>
        <w:t>创新动力混合型发起式</w:t>
      </w:r>
      <w:r w:rsidRPr="000E68D0">
        <w:rPr>
          <w:rFonts w:ascii="仿宋_GB2312" w:eastAsia="仿宋_GB2312" w:hAnsi="宋体" w:cs="Arial" w:hint="eastAsia"/>
          <w:kern w:val="0"/>
          <w:sz w:val="24"/>
          <w:lang w:val="en-GB"/>
        </w:rPr>
        <w:t>证券投资基金基金合同》(以下简称“《基金合同》”)中定义的术语在用于本托管协议时应具有相同的含义；若有抵触应以《基金合同》为准，并依其</w:t>
      </w:r>
      <w:r w:rsidRPr="000E68D0">
        <w:rPr>
          <w:rFonts w:ascii="仿宋_GB2312" w:eastAsia="仿宋_GB2312" w:hAnsi="宋体" w:cs="Arial" w:hint="eastAsia"/>
          <w:kern w:val="0"/>
          <w:sz w:val="24"/>
        </w:rPr>
        <w:t>条款</w:t>
      </w:r>
      <w:r w:rsidRPr="000E68D0">
        <w:rPr>
          <w:rFonts w:ascii="仿宋_GB2312" w:eastAsia="仿宋_GB2312" w:hAnsi="宋体" w:cs="Arial" w:hint="eastAsia"/>
          <w:kern w:val="0"/>
          <w:sz w:val="24"/>
          <w:lang w:val="en-GB"/>
        </w:rPr>
        <w:t>解释。</w:t>
      </w:r>
    </w:p>
    <w:p w14:paraId="34B75423" w14:textId="51CBC3FB" w:rsidR="00391B83" w:rsidRPr="000E68D0" w:rsidRDefault="00296502">
      <w:pPr>
        <w:widowControl/>
        <w:adjustRightInd w:val="0"/>
        <w:snapToGrid w:val="0"/>
        <w:spacing w:before="240" w:after="240" w:line="276" w:lineRule="auto"/>
        <w:ind w:firstLineChars="200" w:firstLine="480"/>
        <w:rPr>
          <w:rFonts w:ascii="仿宋_GB2312" w:eastAsia="仿宋_GB2312" w:hAnsi="宋体" w:cs="Arial"/>
          <w:kern w:val="0"/>
          <w:sz w:val="24"/>
          <w:lang w:val="en-GB"/>
        </w:rPr>
      </w:pPr>
      <w:r w:rsidRPr="000E68D0">
        <w:rPr>
          <w:rFonts w:ascii="仿宋_GB2312" w:eastAsia="仿宋_GB2312" w:hAnsi="宋体" w:cs="Arial" w:hint="eastAsia"/>
          <w:kern w:val="0"/>
          <w:sz w:val="24"/>
          <w:lang w:val="en-GB"/>
        </w:rPr>
        <w:t>若本基金实施</w:t>
      </w:r>
      <w:proofErr w:type="gramStart"/>
      <w:r w:rsidRPr="000E68D0">
        <w:rPr>
          <w:rFonts w:ascii="仿宋_GB2312" w:eastAsia="仿宋_GB2312" w:hAnsi="宋体" w:cs="Arial" w:hint="eastAsia"/>
          <w:kern w:val="0"/>
          <w:sz w:val="24"/>
          <w:lang w:val="en-GB"/>
        </w:rPr>
        <w:t>侧袋机制</w:t>
      </w:r>
      <w:proofErr w:type="gramEnd"/>
      <w:r w:rsidRPr="000E68D0">
        <w:rPr>
          <w:rFonts w:ascii="仿宋_GB2312" w:eastAsia="仿宋_GB2312" w:hAnsi="宋体" w:cs="Arial" w:hint="eastAsia"/>
          <w:kern w:val="0"/>
          <w:sz w:val="24"/>
          <w:lang w:val="en-GB"/>
        </w:rPr>
        <w:t>的，</w:t>
      </w:r>
      <w:proofErr w:type="gramStart"/>
      <w:r w:rsidRPr="000E68D0">
        <w:rPr>
          <w:rFonts w:ascii="仿宋_GB2312" w:eastAsia="仿宋_GB2312" w:hAnsi="宋体" w:cs="Arial" w:hint="eastAsia"/>
          <w:kern w:val="0"/>
          <w:sz w:val="24"/>
          <w:lang w:val="en-GB"/>
        </w:rPr>
        <w:t>侧袋机制</w:t>
      </w:r>
      <w:proofErr w:type="gramEnd"/>
      <w:r w:rsidRPr="000E68D0">
        <w:rPr>
          <w:rFonts w:ascii="仿宋_GB2312" w:eastAsia="仿宋_GB2312" w:hAnsi="宋体" w:cs="Arial" w:hint="eastAsia"/>
          <w:kern w:val="0"/>
          <w:sz w:val="24"/>
          <w:lang w:val="en-GB"/>
        </w:rPr>
        <w:t>实施期间的相关安排</w:t>
      </w:r>
      <w:proofErr w:type="gramStart"/>
      <w:r w:rsidRPr="000E68D0">
        <w:rPr>
          <w:rFonts w:ascii="仿宋_GB2312" w:eastAsia="仿宋_GB2312" w:hAnsi="宋体" w:cs="Arial" w:hint="eastAsia"/>
          <w:kern w:val="0"/>
          <w:sz w:val="24"/>
          <w:lang w:val="en-GB"/>
        </w:rPr>
        <w:t>见基金</w:t>
      </w:r>
      <w:proofErr w:type="gramEnd"/>
      <w:r w:rsidRPr="000E68D0">
        <w:rPr>
          <w:rFonts w:ascii="仿宋_GB2312" w:eastAsia="仿宋_GB2312" w:hAnsi="宋体" w:cs="Arial" w:hint="eastAsia"/>
          <w:kern w:val="0"/>
          <w:sz w:val="24"/>
          <w:lang w:val="en-GB"/>
        </w:rPr>
        <w:t>合同和招募说明书的规定。</w:t>
      </w:r>
    </w:p>
    <w:p w14:paraId="7823919C" w14:textId="77777777" w:rsidR="00505116" w:rsidRPr="000E68D0" w:rsidRDefault="00690C57">
      <w:pPr>
        <w:pStyle w:val="2"/>
        <w:spacing w:before="240" w:after="240" w:line="276" w:lineRule="auto"/>
        <w:jc w:val="center"/>
        <w:rPr>
          <w:rFonts w:ascii="仿宋_GB2312" w:eastAsia="仿宋_GB2312"/>
        </w:rPr>
      </w:pPr>
      <w:bookmarkStart w:id="1" w:name="_Toc151104989"/>
      <w:r w:rsidRPr="000E68D0">
        <w:rPr>
          <w:rFonts w:ascii="仿宋_GB2312" w:eastAsia="仿宋_GB2312" w:hint="eastAsia"/>
        </w:rPr>
        <w:t>一、基金托管协议当事人</w:t>
      </w:r>
      <w:bookmarkEnd w:id="1"/>
    </w:p>
    <w:p w14:paraId="07961825"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（一）基金管理人</w:t>
      </w:r>
    </w:p>
    <w:p w14:paraId="2428EA5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名称：嘉</w:t>
      </w:r>
      <w:proofErr w:type="gramStart"/>
      <w:r w:rsidRPr="000E68D0">
        <w:rPr>
          <w:rFonts w:ascii="仿宋_GB2312" w:eastAsia="仿宋_GB2312" w:hAnsi="宋体" w:cs="Arial" w:hint="eastAsia"/>
          <w:sz w:val="24"/>
        </w:rPr>
        <w:t>实基金</w:t>
      </w:r>
      <w:proofErr w:type="gramEnd"/>
      <w:r w:rsidRPr="000E68D0">
        <w:rPr>
          <w:rFonts w:ascii="仿宋_GB2312" w:eastAsia="仿宋_GB2312" w:hAnsi="宋体" w:cs="Arial" w:hint="eastAsia"/>
          <w:sz w:val="24"/>
        </w:rPr>
        <w:t>管理有限公司</w:t>
      </w:r>
    </w:p>
    <w:p w14:paraId="50B27CC5" w14:textId="0951E36E"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注册地址：</w:t>
      </w:r>
      <w:r w:rsidR="003B71D4" w:rsidRPr="000E68D0">
        <w:rPr>
          <w:rFonts w:ascii="仿宋_GB2312" w:eastAsia="仿宋_GB2312" w:hAnsi="宋体" w:cs="Arial" w:hint="eastAsia"/>
          <w:sz w:val="24"/>
        </w:rPr>
        <w:t>中国（上海）自由贸易试验区陆家嘴环路1318号1806A单元</w:t>
      </w:r>
    </w:p>
    <w:p w14:paraId="6A696CC0" w14:textId="77777777" w:rsidR="00505116" w:rsidRPr="000E68D0" w:rsidRDefault="00690C57" w:rsidP="002A5AC3">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办公地址：</w:t>
      </w:r>
      <w:r w:rsidR="002A5AC3" w:rsidRPr="000E68D0">
        <w:rPr>
          <w:rFonts w:ascii="仿宋_GB2312" w:eastAsia="仿宋_GB2312" w:hAnsi="宋体" w:cs="Arial" w:hint="eastAsia"/>
          <w:sz w:val="24"/>
        </w:rPr>
        <w:t>北京市朝阳区建国门外大街 21 号北京国际俱乐部 C 座写字楼 12A层</w:t>
      </w:r>
    </w:p>
    <w:p w14:paraId="697E041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邮政编码：100005</w:t>
      </w:r>
    </w:p>
    <w:p w14:paraId="22711B9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法定代表人：经雷</w:t>
      </w:r>
    </w:p>
    <w:p w14:paraId="683B384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成立日期：</w:t>
      </w:r>
      <w:r w:rsidRPr="000E68D0">
        <w:rPr>
          <w:rStyle w:val="read"/>
          <w:rFonts w:ascii="仿宋_GB2312" w:eastAsia="仿宋_GB2312" w:hint="eastAsia"/>
        </w:rPr>
        <w:t>1999 年3 月25 日</w:t>
      </w:r>
    </w:p>
    <w:p w14:paraId="42EAFB3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批准设立机关及批准设立文号：中国证监会</w:t>
      </w:r>
      <w:proofErr w:type="gramStart"/>
      <w:r w:rsidRPr="000E68D0">
        <w:rPr>
          <w:rFonts w:ascii="仿宋_GB2312" w:eastAsia="仿宋_GB2312" w:hAnsi="宋体" w:cs="Arial" w:hint="eastAsia"/>
          <w:sz w:val="24"/>
        </w:rPr>
        <w:t>证监基字</w:t>
      </w:r>
      <w:proofErr w:type="gramEnd"/>
      <w:r w:rsidRPr="000E68D0">
        <w:rPr>
          <w:rStyle w:val="read"/>
          <w:rFonts w:ascii="仿宋_GB2312" w:eastAsia="仿宋_GB2312" w:hint="eastAsia"/>
        </w:rPr>
        <w:t>[1999]5</w:t>
      </w:r>
      <w:r w:rsidRPr="000E68D0">
        <w:rPr>
          <w:rFonts w:ascii="仿宋_GB2312" w:eastAsia="仿宋_GB2312" w:hAnsi="宋体" w:cs="Arial" w:hint="eastAsia"/>
          <w:sz w:val="24"/>
        </w:rPr>
        <w:t>号</w:t>
      </w:r>
    </w:p>
    <w:p w14:paraId="4BB5789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组织形式：有限责任公司（中外合资）</w:t>
      </w:r>
    </w:p>
    <w:p w14:paraId="0BE0882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注册资本：1.5亿</w:t>
      </w:r>
      <w:r w:rsidRPr="000E68D0">
        <w:rPr>
          <w:rStyle w:val="read"/>
          <w:rFonts w:ascii="仿宋_GB2312" w:eastAsia="仿宋_GB2312" w:hint="eastAsia"/>
        </w:rPr>
        <w:t>元人民币</w:t>
      </w:r>
    </w:p>
    <w:p w14:paraId="3FD53D8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存续期间：持续经营</w:t>
      </w:r>
    </w:p>
    <w:p w14:paraId="72A7393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经营范围：基金募集、基金销售、资产管理及中国证监会许可的其他业务</w:t>
      </w:r>
    </w:p>
    <w:p w14:paraId="1449E704"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（二）基金托管人</w:t>
      </w:r>
    </w:p>
    <w:p w14:paraId="7230529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名称：中国建设银行股份有限公司(简称：中国建设银行)</w:t>
      </w:r>
    </w:p>
    <w:p w14:paraId="42DDC91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住所：北京市西城区金融大街25号</w:t>
      </w:r>
    </w:p>
    <w:p w14:paraId="51786DF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办公地址：北京市西城区闹市口大街1号院1号楼</w:t>
      </w:r>
    </w:p>
    <w:p w14:paraId="141F8B2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邮政编码：100033</w:t>
      </w:r>
    </w:p>
    <w:p w14:paraId="192B0D2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法定代表人：田国立</w:t>
      </w:r>
    </w:p>
    <w:p w14:paraId="23A42F7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成立日期：2004年09月17日</w:t>
      </w:r>
    </w:p>
    <w:p w14:paraId="6CBCC43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基金托管业务批准文号：中国证监会</w:t>
      </w:r>
      <w:proofErr w:type="gramStart"/>
      <w:r w:rsidRPr="000E68D0">
        <w:rPr>
          <w:rFonts w:ascii="仿宋_GB2312" w:eastAsia="仿宋_GB2312" w:hAnsi="宋体" w:cs="Arial" w:hint="eastAsia"/>
          <w:sz w:val="24"/>
        </w:rPr>
        <w:t>证监基字</w:t>
      </w:r>
      <w:proofErr w:type="gramEnd"/>
      <w:r w:rsidRPr="000E68D0">
        <w:rPr>
          <w:rFonts w:ascii="仿宋_GB2312" w:eastAsia="仿宋_GB2312" w:hAnsi="宋体" w:cs="Arial" w:hint="eastAsia"/>
          <w:sz w:val="24"/>
        </w:rPr>
        <w:t>[1998</w:t>
      </w:r>
      <w:bookmarkStart w:id="2" w:name="OLE_LINK3"/>
      <w:r w:rsidRPr="000E68D0">
        <w:rPr>
          <w:rFonts w:ascii="仿宋_GB2312" w:eastAsia="仿宋_GB2312" w:hAnsi="宋体" w:cs="Arial" w:hint="eastAsia"/>
          <w:sz w:val="24"/>
        </w:rPr>
        <w:t>]</w:t>
      </w:r>
      <w:bookmarkEnd w:id="2"/>
      <w:r w:rsidRPr="000E68D0">
        <w:rPr>
          <w:rFonts w:ascii="仿宋_GB2312" w:eastAsia="仿宋_GB2312" w:hAnsi="宋体" w:cs="Arial" w:hint="eastAsia"/>
          <w:sz w:val="24"/>
        </w:rPr>
        <w:t>12号</w:t>
      </w:r>
    </w:p>
    <w:p w14:paraId="20C0345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组织形式：股份有限公司</w:t>
      </w:r>
    </w:p>
    <w:p w14:paraId="08A5D19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注册资本：人民币</w:t>
      </w:r>
      <w:proofErr w:type="gramStart"/>
      <w:r w:rsidRPr="000E68D0">
        <w:rPr>
          <w:rFonts w:ascii="仿宋_GB2312" w:eastAsia="仿宋_GB2312" w:hint="eastAsia"/>
          <w:sz w:val="24"/>
        </w:rPr>
        <w:t>贰仟伍佰亿壹仟零玖拾柒万柒仟肆佰捌拾陆</w:t>
      </w:r>
      <w:proofErr w:type="gramEnd"/>
      <w:r w:rsidRPr="000E68D0">
        <w:rPr>
          <w:rFonts w:ascii="仿宋_GB2312" w:eastAsia="仿宋_GB2312" w:hint="eastAsia"/>
          <w:sz w:val="24"/>
        </w:rPr>
        <w:t>元整</w:t>
      </w:r>
    </w:p>
    <w:p w14:paraId="5C6666B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存续期间：持续经营</w:t>
      </w:r>
    </w:p>
    <w:p w14:paraId="5F7F8B04" w14:textId="77777777" w:rsidR="00505116" w:rsidRPr="000E68D0" w:rsidRDefault="00690C57">
      <w:pPr>
        <w:tabs>
          <w:tab w:val="left" w:pos="540"/>
        </w:tabs>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B05010E" w14:textId="77777777" w:rsidR="00505116" w:rsidRPr="000E68D0" w:rsidRDefault="00505116">
      <w:pPr>
        <w:spacing w:before="240" w:after="240" w:line="276" w:lineRule="auto"/>
        <w:rPr>
          <w:rFonts w:ascii="仿宋_GB2312" w:eastAsia="仿宋_GB2312"/>
          <w:sz w:val="24"/>
        </w:rPr>
      </w:pPr>
    </w:p>
    <w:p w14:paraId="4A063F71" w14:textId="77777777" w:rsidR="00505116" w:rsidRPr="000E68D0" w:rsidRDefault="00690C57">
      <w:pPr>
        <w:pStyle w:val="2"/>
        <w:spacing w:before="240" w:after="240" w:line="276" w:lineRule="auto"/>
        <w:jc w:val="center"/>
        <w:rPr>
          <w:rFonts w:ascii="仿宋_GB2312" w:eastAsia="仿宋_GB2312"/>
          <w:sz w:val="30"/>
        </w:rPr>
      </w:pPr>
      <w:bookmarkStart w:id="3" w:name="_Toc151104990"/>
      <w:r w:rsidRPr="000E68D0">
        <w:rPr>
          <w:rFonts w:ascii="仿宋_GB2312" w:eastAsia="仿宋_GB2312" w:hint="eastAsia"/>
          <w:sz w:val="30"/>
        </w:rPr>
        <w:t>二、基金托管协议的依据、目的和原则</w:t>
      </w:r>
      <w:bookmarkEnd w:id="3"/>
    </w:p>
    <w:p w14:paraId="6CBCA538" w14:textId="77777777" w:rsidR="00505116" w:rsidRPr="000E68D0" w:rsidRDefault="00690C57">
      <w:pPr>
        <w:adjustRightInd w:val="0"/>
        <w:snapToGrid w:val="0"/>
        <w:spacing w:before="240" w:after="240" w:line="276" w:lineRule="auto"/>
        <w:ind w:firstLineChars="200" w:firstLine="480"/>
        <w:rPr>
          <w:rFonts w:ascii="仿宋_GB2312" w:eastAsia="仿宋_GB2312"/>
          <w:sz w:val="24"/>
          <w:szCs w:val="30"/>
        </w:rPr>
      </w:pPr>
      <w:r w:rsidRPr="000E68D0">
        <w:rPr>
          <w:rFonts w:ascii="仿宋_GB2312" w:eastAsia="仿宋_GB2312" w:hAnsi="宋体" w:cs="Arial" w:hint="eastAsia"/>
          <w:sz w:val="24"/>
        </w:rPr>
        <w:t>（一）订立托管协议的依据</w:t>
      </w:r>
    </w:p>
    <w:p w14:paraId="1C1B470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本协议依据《中华人民共和国证券投资基金法》(以下简称“《基金法》”)</w:t>
      </w:r>
      <w:r w:rsidR="00E06612" w:rsidRPr="000E68D0">
        <w:rPr>
          <w:rFonts w:ascii="仿宋_GB2312" w:eastAsia="仿宋_GB2312" w:hint="eastAsia"/>
        </w:rPr>
        <w:t xml:space="preserve"> </w:t>
      </w:r>
      <w:r w:rsidR="00E06612" w:rsidRPr="000E68D0">
        <w:rPr>
          <w:rFonts w:ascii="仿宋_GB2312" w:eastAsia="仿宋_GB2312"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0E68D0">
        <w:rPr>
          <w:rFonts w:ascii="仿宋_GB2312" w:eastAsia="仿宋_GB2312" w:hAnsi="宋体" w:cs="Arial" w:hint="eastAsia"/>
          <w:sz w:val="24"/>
        </w:rPr>
        <w:t>等有关法律法规、《基金合同》及其他有关规定制订。</w:t>
      </w:r>
    </w:p>
    <w:p w14:paraId="5D8006B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（二）订立托管协议的目的</w:t>
      </w:r>
    </w:p>
    <w:p w14:paraId="138DB4E1" w14:textId="24A01753" w:rsidR="00505116" w:rsidRPr="000E68D0" w:rsidRDefault="00690C57">
      <w:pPr>
        <w:adjustRightInd w:val="0"/>
        <w:snapToGrid w:val="0"/>
        <w:spacing w:before="240" w:after="240" w:line="276" w:lineRule="auto"/>
        <w:ind w:firstLineChars="200" w:firstLine="480"/>
        <w:rPr>
          <w:rFonts w:ascii="仿宋_GB2312" w:eastAsia="仿宋_GB2312"/>
          <w:sz w:val="24"/>
          <w:szCs w:val="30"/>
        </w:rPr>
      </w:pPr>
      <w:r w:rsidRPr="000E68D0">
        <w:rPr>
          <w:rFonts w:ascii="仿宋_GB2312" w:eastAsia="仿宋_GB2312" w:hAnsi="宋体" w:cs="Arial" w:hint="eastAsia"/>
          <w:sz w:val="24"/>
        </w:rPr>
        <w:t>订立本协议的目的是明确基金管理人与基金托管人之间在基金财产的保管、投资运作、净值计算、收益分配、</w:t>
      </w:r>
      <w:r w:rsidR="00235B58" w:rsidRPr="000E68D0">
        <w:rPr>
          <w:rFonts w:ascii="仿宋_GB2312" w:eastAsia="仿宋_GB2312" w:hAnsi="宋体" w:cs="Arial" w:hint="eastAsia"/>
          <w:sz w:val="24"/>
        </w:rPr>
        <w:t>基金份额持有人名册的建立和保管、</w:t>
      </w:r>
      <w:r w:rsidRPr="000E68D0">
        <w:rPr>
          <w:rFonts w:ascii="仿宋_GB2312" w:eastAsia="仿宋_GB2312" w:hAnsi="宋体" w:cs="Arial" w:hint="eastAsia"/>
          <w:sz w:val="24"/>
        </w:rPr>
        <w:t>信息披露及相互监督等相关事宜中的权利义务及职责，确保基金财产的安全，保护基金份额持有人的合法权益。</w:t>
      </w:r>
    </w:p>
    <w:p w14:paraId="3E60E9E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（三）订立托管协议的原则</w:t>
      </w:r>
    </w:p>
    <w:p w14:paraId="26F9949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基金管理人和基金托管人本着平等自愿、诚实信用、充分保护基金份额持有人合法权益的原则，经协商一致，签订本协议。</w:t>
      </w:r>
    </w:p>
    <w:p w14:paraId="4FC71B22" w14:textId="77777777" w:rsidR="00505116" w:rsidRPr="000E68D0" w:rsidRDefault="00505116">
      <w:pPr>
        <w:spacing w:before="240" w:after="240" w:line="276" w:lineRule="auto"/>
        <w:rPr>
          <w:rFonts w:ascii="仿宋_GB2312" w:eastAsia="仿宋_GB2312"/>
          <w:sz w:val="24"/>
        </w:rPr>
      </w:pPr>
    </w:p>
    <w:p w14:paraId="2468C7DC" w14:textId="77777777" w:rsidR="00505116" w:rsidRPr="000E68D0" w:rsidRDefault="00690C57">
      <w:pPr>
        <w:pStyle w:val="2"/>
        <w:spacing w:before="240" w:after="240" w:line="276" w:lineRule="auto"/>
        <w:jc w:val="center"/>
        <w:rPr>
          <w:rFonts w:ascii="仿宋_GB2312" w:eastAsia="仿宋_GB2312"/>
          <w:sz w:val="30"/>
          <w:szCs w:val="24"/>
        </w:rPr>
      </w:pPr>
      <w:bookmarkStart w:id="4" w:name="_Toc151104991"/>
      <w:r w:rsidRPr="000E68D0">
        <w:rPr>
          <w:rFonts w:ascii="仿宋_GB2312" w:eastAsia="仿宋_GB2312" w:hint="eastAsia"/>
          <w:sz w:val="30"/>
        </w:rPr>
        <w:t>三、基金托管人对基金管理人的业务监督和核查</w:t>
      </w:r>
      <w:bookmarkEnd w:id="4"/>
    </w:p>
    <w:p w14:paraId="62C81AF6" w14:textId="1BD81C86" w:rsidR="00505116" w:rsidRPr="000E68D0" w:rsidRDefault="00690C57" w:rsidP="002A43B0">
      <w:pPr>
        <w:adjustRightInd w:val="0"/>
        <w:snapToGrid w:val="0"/>
        <w:spacing w:line="360"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w:t>
      </w:r>
      <w:r w:rsidR="00494541" w:rsidRPr="000E68D0">
        <w:rPr>
          <w:rFonts w:ascii="仿宋_GB2312" w:eastAsia="仿宋_GB2312"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09C444E" w14:textId="2D5961AB" w:rsidR="005D002E" w:rsidRPr="000E68D0" w:rsidRDefault="00A12DE8" w:rsidP="002A43B0">
      <w:pPr>
        <w:adjustRightInd w:val="0"/>
        <w:snapToGrid w:val="0"/>
        <w:spacing w:line="360"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本基金</w:t>
      </w:r>
      <w:r w:rsidR="005D002E" w:rsidRPr="000E68D0">
        <w:rPr>
          <w:rFonts w:ascii="仿宋_GB2312" w:eastAsia="仿宋_GB2312" w:hAnsi="宋体" w:cs="Arial" w:hint="eastAsia"/>
          <w:bCs/>
          <w:sz w:val="24"/>
        </w:rPr>
        <w:t>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005D002E" w:rsidRPr="000E68D0">
        <w:rPr>
          <w:rFonts w:ascii="仿宋_GB2312" w:eastAsia="仿宋_GB2312" w:hAnsi="宋体" w:cs="Arial" w:hint="eastAsia"/>
          <w:bCs/>
          <w:sz w:val="24"/>
        </w:rPr>
        <w:t>券</w:t>
      </w:r>
      <w:proofErr w:type="gramEnd"/>
      <w:r w:rsidR="005D002E" w:rsidRPr="000E68D0">
        <w:rPr>
          <w:rFonts w:ascii="仿宋_GB2312" w:eastAsia="仿宋_GB2312" w:hAnsi="宋体" w:cs="Arial" w:hint="eastAsia"/>
          <w:bCs/>
          <w:sz w:val="24"/>
        </w:rPr>
        <w:t>、超短期融资</w:t>
      </w:r>
      <w:proofErr w:type="gramStart"/>
      <w:r w:rsidR="005D002E" w:rsidRPr="000E68D0">
        <w:rPr>
          <w:rFonts w:ascii="仿宋_GB2312" w:eastAsia="仿宋_GB2312" w:hAnsi="宋体" w:cs="Arial" w:hint="eastAsia"/>
          <w:bCs/>
          <w:sz w:val="24"/>
        </w:rPr>
        <w:t>券</w:t>
      </w:r>
      <w:proofErr w:type="gramEnd"/>
      <w:r w:rsidR="005D002E" w:rsidRPr="000E68D0">
        <w:rPr>
          <w:rFonts w:ascii="仿宋_GB2312" w:eastAsia="仿宋_GB2312" w:hAnsi="宋体" w:cs="Arial"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55F53063"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本基金可根据相关法律法规和基金合同的约定，参与融资业务。</w:t>
      </w:r>
    </w:p>
    <w:p w14:paraId="241F9E8B" w14:textId="2050CF9D" w:rsidR="00A12DE8" w:rsidRPr="000E68D0" w:rsidRDefault="005D002E" w:rsidP="005D002E">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如法律法规或监管机构以后允许基金投资其他品种，基金管理人在履行适当程序后，可以将其纳入投资范围。</w:t>
      </w:r>
    </w:p>
    <w:p w14:paraId="6C120E0A" w14:textId="761DA923" w:rsidR="00A12DE8" w:rsidRPr="000E68D0" w:rsidRDefault="005D002E">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基金的投资组合比例为：股票资产的比例为基金资产的60%-95%，其中投资于</w:t>
      </w:r>
      <w:r w:rsidRPr="000E68D0">
        <w:rPr>
          <w:rFonts w:ascii="仿宋_GB2312" w:eastAsia="仿宋_GB2312" w:hAnsi="宋体" w:cs="Arial" w:hint="eastAsia"/>
          <w:bCs/>
          <w:sz w:val="24"/>
        </w:rPr>
        <w:lastRenderedPageBreak/>
        <w:t>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1E869CE4" w14:textId="77777777" w:rsidR="00505116" w:rsidRPr="000E68D0" w:rsidRDefault="00690C57">
      <w:pPr>
        <w:adjustRightInd w:val="0"/>
        <w:snapToGrid w:val="0"/>
        <w:spacing w:before="240" w:after="240" w:line="276" w:lineRule="auto"/>
        <w:ind w:firstLineChars="200" w:firstLine="480"/>
        <w:rPr>
          <w:rFonts w:ascii="仿宋_GB2312" w:eastAsia="仿宋_GB2312"/>
          <w:sz w:val="24"/>
        </w:rPr>
      </w:pPr>
      <w:r w:rsidRPr="000E68D0">
        <w:rPr>
          <w:rFonts w:ascii="仿宋_GB2312" w:eastAsia="仿宋_GB2312" w:hint="eastAsia"/>
          <w:sz w:val="24"/>
        </w:rPr>
        <w:t>（二）基金托管人根据有关法律法规的规定及《基金合同》的约定，对基金投资、融资比例进行监督。基金托管人按下述比例和调整期限进行监督：</w:t>
      </w:r>
    </w:p>
    <w:p w14:paraId="15FF135A" w14:textId="716F4B9D"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（1）股票资产占基金资产的比例为60%-95%，其中投资于港股通标的股票的比例占股票资产的0-50%；</w:t>
      </w:r>
    </w:p>
    <w:p w14:paraId="75962A0D"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（2）本基金应当保持不低于基金资产净值5％的现金或者到期日在一年以内的政府债券，其中现金不包括结算备付金、存出保证金和应收申购款等；</w:t>
      </w:r>
    </w:p>
    <w:p w14:paraId="1CD82412"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（3）本基金持有一家公司发行的证券，其市值不超过基金资产净值的10％；</w:t>
      </w:r>
    </w:p>
    <w:p w14:paraId="2AEC7705" w14:textId="710D8DCD"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（4）本基金管理人管理的</w:t>
      </w:r>
      <w:r w:rsidR="00494541" w:rsidRPr="000E68D0">
        <w:rPr>
          <w:rFonts w:ascii="仿宋_GB2312" w:eastAsia="仿宋_GB2312" w:hint="eastAsia"/>
          <w:bCs/>
          <w:sz w:val="24"/>
        </w:rPr>
        <w:t>且由本基金托管人托管的</w:t>
      </w:r>
      <w:r w:rsidRPr="000E68D0">
        <w:rPr>
          <w:rFonts w:ascii="仿宋_GB2312" w:eastAsia="仿宋_GB2312" w:hint="eastAsia"/>
          <w:bCs/>
          <w:sz w:val="24"/>
        </w:rPr>
        <w:t>全部基金持有一家公司发行的证券，不超过该证券的10％；</w:t>
      </w:r>
    </w:p>
    <w:p w14:paraId="4C9EC24C"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（5）本基金投资于同一原始权益人的各类资产支持证券的比例，不得超过基金资产净值的10％；</w:t>
      </w:r>
    </w:p>
    <w:p w14:paraId="0190C264"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（6）本基金持有的全部资产支持证券，其市值不得超过基金资产净值的20％；</w:t>
      </w:r>
    </w:p>
    <w:p w14:paraId="297E3592"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（7）本基金持有的同一(指同一信用级别)资产支持证券的比例，不得超过该资产支持证券规模的10％；</w:t>
      </w:r>
    </w:p>
    <w:p w14:paraId="69D9E134" w14:textId="4E583D66"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（8）本基金管理人管理的</w:t>
      </w:r>
      <w:r w:rsidR="00494541" w:rsidRPr="000E68D0">
        <w:rPr>
          <w:rFonts w:ascii="仿宋_GB2312" w:eastAsia="仿宋_GB2312" w:hint="eastAsia"/>
          <w:bCs/>
          <w:sz w:val="24"/>
        </w:rPr>
        <w:t>且由本基金托管人托管的</w:t>
      </w:r>
      <w:r w:rsidRPr="000E68D0">
        <w:rPr>
          <w:rFonts w:ascii="仿宋_GB2312" w:eastAsia="仿宋_GB2312" w:hint="eastAsia"/>
          <w:bCs/>
          <w:sz w:val="24"/>
        </w:rPr>
        <w:t>全部基金投资于同一原始权益人的各类资产支持证券，不得超过其各类资产支持证券合计规模的10％；</w:t>
      </w:r>
    </w:p>
    <w:p w14:paraId="66A171F3"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5A9D6891"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（10）基金财产参与股票发行申购，本基金所申报的金额不超过本基金的总资产，本基金所申报的股票数量不超过拟发行股票公司本次发行股票的总量；</w:t>
      </w:r>
    </w:p>
    <w:p w14:paraId="0FB5DB36" w14:textId="6B204167" w:rsidR="005D002E" w:rsidRPr="000E68D0" w:rsidRDefault="005D002E" w:rsidP="00AD14DF">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（11）本基金</w:t>
      </w:r>
      <w:proofErr w:type="gramStart"/>
      <w:r w:rsidRPr="000E68D0">
        <w:rPr>
          <w:rFonts w:ascii="仿宋_GB2312" w:eastAsia="仿宋_GB2312" w:hint="eastAsia"/>
          <w:bCs/>
          <w:sz w:val="24"/>
        </w:rPr>
        <w:t>若参</w:t>
      </w:r>
      <w:proofErr w:type="gramEnd"/>
      <w:r w:rsidRPr="000E68D0">
        <w:rPr>
          <w:rFonts w:ascii="仿宋_GB2312" w:eastAsia="仿宋_GB2312" w:hint="eastAsia"/>
          <w:bCs/>
          <w:sz w:val="24"/>
        </w:rPr>
        <w:t>与股指期货交易，应当遵守下列投资限制：</w:t>
      </w:r>
    </w:p>
    <w:p w14:paraId="4EA750A7"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①本基金在任何交易日日终，持有的买入股指期货合约价值，不得超过基金资产净值的10%；</w:t>
      </w:r>
    </w:p>
    <w:p w14:paraId="03CDECB1"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②每个交易日日终在扣除股指期货合约和国债期货合约需缴纳的交易保证金</w:t>
      </w:r>
      <w:r w:rsidRPr="000E68D0">
        <w:rPr>
          <w:rFonts w:ascii="仿宋_GB2312" w:eastAsia="仿宋_GB2312" w:hint="eastAsia"/>
          <w:bCs/>
          <w:sz w:val="24"/>
        </w:rPr>
        <w:lastRenderedPageBreak/>
        <w:t>后，应当保持不低于基金资产净值的5%的现金或到期日在一年以内的政府债券，其中现金不包括结算备付金、存出保证金、应收申购款等；</w:t>
      </w:r>
    </w:p>
    <w:p w14:paraId="0DFDE37F"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③本基金在任何交易日日终，持有的买入国债期货和股指期货合约价值与有价证券市值之和，不得超过基金资产净值的95%。</w:t>
      </w:r>
    </w:p>
    <w:p w14:paraId="600D4485"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其中，有价证券指股票、债券（不含到期日在一年以内的政府债券）、资产支持证券、买入返售金融资产（不含质押式回购）等；</w:t>
      </w:r>
    </w:p>
    <w:p w14:paraId="780A83CC"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④本基金在任何交易日日终，持有的卖出股指期货合约价值不得超过基金持有的股票总市值的20%；</w:t>
      </w:r>
    </w:p>
    <w:p w14:paraId="466F0F03"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⑤本基金所持有的股票市值和买入、卖出股指期货合约价值，合计（轧差计算）应当符合《基金合同》关于股票投资比例的有关规定；</w:t>
      </w:r>
    </w:p>
    <w:p w14:paraId="2D9FC121"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⑥本基金在任何交易日内交易（不包括平仓）的股指期货合约的成交金额不得超过上一交易日基金资产净值的20%；</w:t>
      </w:r>
    </w:p>
    <w:p w14:paraId="64C0DD10" w14:textId="1F2FD9BF"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12</w:t>
      </w:r>
      <w:r w:rsidRPr="000E68D0">
        <w:rPr>
          <w:rFonts w:ascii="仿宋_GB2312" w:eastAsia="仿宋_GB2312" w:hint="eastAsia"/>
          <w:bCs/>
          <w:sz w:val="24"/>
        </w:rPr>
        <w:t>）本基金</w:t>
      </w:r>
      <w:proofErr w:type="gramStart"/>
      <w:r w:rsidRPr="000E68D0">
        <w:rPr>
          <w:rFonts w:ascii="仿宋_GB2312" w:eastAsia="仿宋_GB2312" w:hint="eastAsia"/>
          <w:bCs/>
          <w:sz w:val="24"/>
        </w:rPr>
        <w:t>若参</w:t>
      </w:r>
      <w:proofErr w:type="gramEnd"/>
      <w:r w:rsidRPr="000E68D0">
        <w:rPr>
          <w:rFonts w:ascii="仿宋_GB2312" w:eastAsia="仿宋_GB2312" w:hint="eastAsia"/>
          <w:bCs/>
          <w:sz w:val="24"/>
        </w:rPr>
        <w:t>与国债期货交易，应当遵守下列投资限制：</w:t>
      </w:r>
    </w:p>
    <w:p w14:paraId="55ED92FE"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①本基金在任何交易日日终，持有的买入国债期货合约价值，不得超过基金资产净值的 15%；</w:t>
      </w:r>
    </w:p>
    <w:p w14:paraId="162CEE7F"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54C637E8"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③本基金在任何交易日日终，持有的买入国债期货和股指期货合约价值与有价证券市值之和，不得超过基金资产净值的95%。</w:t>
      </w:r>
    </w:p>
    <w:p w14:paraId="535B9AD8"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其中，有价证券指股票、债券（不含到期日在一年以内的政府债券）、资产支持证券、买入返售金融资产（不含质押式回购）等；</w:t>
      </w:r>
    </w:p>
    <w:p w14:paraId="7C5028F5"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④本基金在任何交易日日终，持有的卖出国债期货合约价值，不得超过基金持有的债券总市值的 30%；</w:t>
      </w:r>
    </w:p>
    <w:p w14:paraId="7AFFA5DE" w14:textId="600643FE" w:rsidR="005D002E" w:rsidRPr="000E68D0" w:rsidRDefault="002A43B0" w:rsidP="002A43B0">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fldChar w:fldCharType="begin"/>
      </w:r>
      <w:r w:rsidRPr="000E68D0">
        <w:rPr>
          <w:rFonts w:ascii="仿宋_GB2312" w:eastAsia="仿宋_GB2312" w:hint="eastAsia"/>
          <w:bCs/>
          <w:sz w:val="24"/>
        </w:rPr>
        <w:instrText xml:space="preserve"> = 5 \* GB3 </w:instrText>
      </w:r>
      <w:r w:rsidRPr="000E68D0">
        <w:rPr>
          <w:rFonts w:ascii="仿宋_GB2312" w:eastAsia="仿宋_GB2312" w:hint="eastAsia"/>
          <w:bCs/>
          <w:sz w:val="24"/>
        </w:rPr>
        <w:fldChar w:fldCharType="separate"/>
      </w:r>
      <w:r w:rsidRPr="000E68D0">
        <w:rPr>
          <w:rFonts w:ascii="仿宋_GB2312" w:eastAsia="仿宋_GB2312" w:hint="eastAsia"/>
          <w:bCs/>
          <w:sz w:val="24"/>
        </w:rPr>
        <w:t>⑤</w:t>
      </w:r>
      <w:r w:rsidRPr="000E68D0">
        <w:rPr>
          <w:rFonts w:ascii="仿宋_GB2312" w:eastAsia="仿宋_GB2312" w:hint="eastAsia"/>
          <w:bCs/>
          <w:sz w:val="24"/>
        </w:rPr>
        <w:fldChar w:fldCharType="end"/>
      </w:r>
      <w:r w:rsidR="005D002E" w:rsidRPr="000E68D0">
        <w:rPr>
          <w:rFonts w:ascii="仿宋_GB2312" w:eastAsia="仿宋_GB2312" w:hint="eastAsia"/>
          <w:bCs/>
          <w:sz w:val="24"/>
        </w:rPr>
        <w:t>本基金在任何交易日内交易（不包括平仓）的国债期货合约的成交金额不得超过上一交易日基金资产净值的 30%；</w:t>
      </w:r>
    </w:p>
    <w:p w14:paraId="3C8B237E" w14:textId="7A457C50"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13</w:t>
      </w:r>
      <w:r w:rsidRPr="000E68D0">
        <w:rPr>
          <w:rFonts w:ascii="仿宋_GB2312" w:eastAsia="仿宋_GB2312" w:hint="eastAsia"/>
          <w:bCs/>
          <w:sz w:val="24"/>
        </w:rPr>
        <w:t>）本基金</w:t>
      </w:r>
      <w:proofErr w:type="gramStart"/>
      <w:r w:rsidRPr="000E68D0">
        <w:rPr>
          <w:rFonts w:ascii="仿宋_GB2312" w:eastAsia="仿宋_GB2312" w:hint="eastAsia"/>
          <w:bCs/>
          <w:sz w:val="24"/>
        </w:rPr>
        <w:t>若参</w:t>
      </w:r>
      <w:proofErr w:type="gramEnd"/>
      <w:r w:rsidRPr="000E68D0">
        <w:rPr>
          <w:rFonts w:ascii="仿宋_GB2312" w:eastAsia="仿宋_GB2312" w:hint="eastAsia"/>
          <w:bCs/>
          <w:sz w:val="24"/>
        </w:rPr>
        <w:t>与股票期权交易，应当遵守下列投资限制：</w:t>
      </w:r>
    </w:p>
    <w:p w14:paraId="40DD7DB4"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①本基金因未平仓的股票期权合约支付和收取的权利金总额不得超过基金资产净值的10%；</w:t>
      </w:r>
    </w:p>
    <w:p w14:paraId="0C2C2F92"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lastRenderedPageBreak/>
        <w:t>②本基金开仓卖出认购股票期权的，应持有足额标的证券；开仓卖出认</w:t>
      </w:r>
      <w:proofErr w:type="gramStart"/>
      <w:r w:rsidRPr="000E68D0">
        <w:rPr>
          <w:rFonts w:ascii="仿宋_GB2312" w:eastAsia="仿宋_GB2312" w:hint="eastAsia"/>
          <w:bCs/>
          <w:sz w:val="24"/>
        </w:rPr>
        <w:t>沽股票</w:t>
      </w:r>
      <w:proofErr w:type="gramEnd"/>
      <w:r w:rsidRPr="000E68D0">
        <w:rPr>
          <w:rFonts w:ascii="仿宋_GB2312" w:eastAsia="仿宋_GB2312" w:hint="eastAsia"/>
          <w:bCs/>
          <w:sz w:val="24"/>
        </w:rPr>
        <w:t>期权的，应持有合约行权所需的全额现金或交易所规则认可的可冲抵股票期权保证金的现金等价物；</w:t>
      </w:r>
    </w:p>
    <w:p w14:paraId="1629AAF7" w14:textId="77777777"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③本基金未平仓的股票期权合约面值不得超过基金资产净值的20%。其中，合约面值按照行权价乘以合约乘数计算；</w:t>
      </w:r>
    </w:p>
    <w:p w14:paraId="57907EAD" w14:textId="2652C683"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14</w:t>
      </w:r>
      <w:r w:rsidRPr="000E68D0">
        <w:rPr>
          <w:rFonts w:ascii="仿宋_GB2312" w:eastAsia="仿宋_GB2312" w:hint="eastAsia"/>
          <w:bCs/>
          <w:sz w:val="24"/>
        </w:rPr>
        <w:t>）本基金管理人管理的</w:t>
      </w:r>
      <w:r w:rsidR="00494541" w:rsidRPr="000E68D0">
        <w:rPr>
          <w:rFonts w:ascii="仿宋_GB2312" w:eastAsia="仿宋_GB2312" w:hint="eastAsia"/>
          <w:bCs/>
          <w:sz w:val="24"/>
        </w:rPr>
        <w:t>且由本基金托管人托管的</w:t>
      </w:r>
      <w:r w:rsidRPr="000E68D0">
        <w:rPr>
          <w:rFonts w:ascii="仿宋_GB2312" w:eastAsia="仿宋_GB2312" w:hint="eastAsia"/>
          <w:bCs/>
          <w:sz w:val="24"/>
        </w:rPr>
        <w:t>全部开放式基金持有一家上市公司发行的可流通股票，不得超过该上市公司可流通股票的15%；本基金管理人管理的</w:t>
      </w:r>
      <w:r w:rsidR="00494541" w:rsidRPr="000E68D0">
        <w:rPr>
          <w:rFonts w:ascii="仿宋_GB2312" w:eastAsia="仿宋_GB2312" w:hint="eastAsia"/>
          <w:sz w:val="24"/>
        </w:rPr>
        <w:t>且由本基金托管人托管的</w:t>
      </w:r>
      <w:r w:rsidRPr="000E68D0">
        <w:rPr>
          <w:rFonts w:ascii="仿宋_GB2312" w:eastAsia="仿宋_GB2312" w:hint="eastAsia"/>
          <w:bCs/>
          <w:sz w:val="24"/>
        </w:rPr>
        <w:t>全部投资组合持有一家上市公司发行的可流通股票，不得超过该上市公司可流通股票的30%；</w:t>
      </w:r>
    </w:p>
    <w:p w14:paraId="1B2588B6" w14:textId="565336FD" w:rsidR="002A43B0"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15</w:t>
      </w:r>
      <w:r w:rsidRPr="000E68D0">
        <w:rPr>
          <w:rFonts w:ascii="仿宋_GB2312" w:eastAsia="仿宋_GB2312"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E22E070" w14:textId="41A765C2"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16</w:t>
      </w:r>
      <w:r w:rsidRPr="000E68D0">
        <w:rPr>
          <w:rFonts w:ascii="仿宋_GB2312" w:eastAsia="仿宋_GB2312" w:hint="eastAsia"/>
          <w:bCs/>
          <w:sz w:val="24"/>
        </w:rPr>
        <w:t>）本基金资产总值不超过基金资产净值的140%；</w:t>
      </w:r>
    </w:p>
    <w:p w14:paraId="5B08FFE7" w14:textId="0261C40C"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17</w:t>
      </w:r>
      <w:r w:rsidRPr="000E68D0">
        <w:rPr>
          <w:rFonts w:ascii="仿宋_GB2312" w:eastAsia="仿宋_GB2312" w:hint="eastAsia"/>
          <w:bCs/>
          <w:sz w:val="24"/>
        </w:rPr>
        <w:t>）本基金参与融资的，每个交易日日终，本基金持有的融资买入股票与其他有价证券市值之和，不得超过基金资产净值的95%；</w:t>
      </w:r>
    </w:p>
    <w:p w14:paraId="034E2B3F" w14:textId="78440491"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18</w:t>
      </w:r>
      <w:r w:rsidRPr="000E68D0">
        <w:rPr>
          <w:rFonts w:ascii="仿宋_GB2312" w:eastAsia="仿宋_GB2312" w:hint="eastAsia"/>
          <w:bCs/>
          <w:sz w:val="24"/>
        </w:rPr>
        <w:t>）本基金投资存托凭证的比例限制依照国内依法发行上市的股票执行，与国内依法发行上市的股票合并计算；</w:t>
      </w:r>
    </w:p>
    <w:p w14:paraId="68DDB9B2" w14:textId="0156E980"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w:t>
      </w:r>
      <w:r w:rsidR="00AD14DF" w:rsidRPr="000E68D0">
        <w:rPr>
          <w:rFonts w:ascii="仿宋_GB2312" w:eastAsia="仿宋_GB2312" w:hint="eastAsia"/>
          <w:bCs/>
          <w:sz w:val="24"/>
        </w:rPr>
        <w:t>19</w:t>
      </w:r>
      <w:r w:rsidRPr="000E68D0">
        <w:rPr>
          <w:rFonts w:ascii="仿宋_GB2312" w:eastAsia="仿宋_GB2312" w:hint="eastAsia"/>
          <w:bCs/>
          <w:sz w:val="24"/>
        </w:rPr>
        <w:t>）法律法规及中国证监会规定的和基金合同约定的其他投资限制。</w:t>
      </w:r>
    </w:p>
    <w:p w14:paraId="1D29C925" w14:textId="62B48B7D" w:rsidR="005D002E" w:rsidRPr="000E68D0" w:rsidRDefault="005D002E" w:rsidP="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除上述（2）、（9）、（</w:t>
      </w:r>
      <w:r w:rsidR="00AD14DF" w:rsidRPr="000E68D0">
        <w:rPr>
          <w:rFonts w:ascii="仿宋_GB2312" w:eastAsia="仿宋_GB2312" w:hint="eastAsia"/>
          <w:bCs/>
          <w:sz w:val="24"/>
        </w:rPr>
        <w:t>15</w:t>
      </w:r>
      <w:r w:rsidR="00AA583C" w:rsidRPr="000E68D0">
        <w:rPr>
          <w:rFonts w:ascii="仿宋_GB2312" w:eastAsia="仿宋_GB2312" w:hint="eastAsia"/>
          <w:bCs/>
          <w:sz w:val="24"/>
        </w:rPr>
        <w:t>）</w:t>
      </w:r>
      <w:r w:rsidRPr="000E68D0">
        <w:rPr>
          <w:rFonts w:ascii="仿宋_GB2312" w:eastAsia="仿宋_GB2312" w:hint="eastAsia"/>
          <w:bCs/>
          <w:sz w:val="24"/>
        </w:rPr>
        <w:t>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7C1372D3" w14:textId="5967F5B0" w:rsidR="00A12DE8" w:rsidRPr="000E68D0" w:rsidRDefault="005D002E">
      <w:pPr>
        <w:adjustRightInd w:val="0"/>
        <w:snapToGrid w:val="0"/>
        <w:spacing w:before="240" w:after="240" w:line="276" w:lineRule="auto"/>
        <w:ind w:firstLineChars="200" w:firstLine="480"/>
        <w:rPr>
          <w:rFonts w:ascii="仿宋_GB2312" w:eastAsia="仿宋_GB2312"/>
          <w:bCs/>
          <w:sz w:val="24"/>
        </w:rPr>
      </w:pPr>
      <w:r w:rsidRPr="000E68D0">
        <w:rPr>
          <w:rFonts w:ascii="仿宋_GB2312" w:eastAsia="仿宋_GB2312" w:hint="eastAsia"/>
          <w:bCs/>
          <w:sz w:val="24"/>
        </w:rPr>
        <w:t>基金管理人应当自基金合同生效之日起6个月内使基金的投资组合比例符合基金合同的有关约定。在上述期间内，本基金的投资范围、投资</w:t>
      </w:r>
      <w:r w:rsidR="000D3411" w:rsidRPr="000E68D0">
        <w:rPr>
          <w:rFonts w:ascii="仿宋_GB2312" w:eastAsia="仿宋_GB2312" w:hint="eastAsia"/>
          <w:bCs/>
          <w:sz w:val="24"/>
        </w:rPr>
        <w:t>策略应当符合基金合同的约定。基金托管人对基金投资的监督与检查自</w:t>
      </w:r>
      <w:r w:rsidRPr="000E68D0">
        <w:rPr>
          <w:rFonts w:ascii="仿宋_GB2312" w:eastAsia="仿宋_GB2312" w:hint="eastAsia"/>
          <w:bCs/>
          <w:sz w:val="24"/>
        </w:rPr>
        <w:t>基金合同生效之日起开始。</w:t>
      </w:r>
    </w:p>
    <w:p w14:paraId="7F9204A8" w14:textId="2A133435"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（三）基金托管人</w:t>
      </w:r>
      <w:bookmarkStart w:id="5" w:name="OLE_LINK1"/>
      <w:r w:rsidRPr="000E68D0">
        <w:rPr>
          <w:rFonts w:ascii="仿宋_GB2312" w:eastAsia="仿宋_GB2312" w:hAnsi="宋体" w:cs="Arial" w:hint="eastAsia"/>
          <w:sz w:val="24"/>
        </w:rPr>
        <w:t>根据有关法律法规的规定及《基金合同》的约定，</w:t>
      </w:r>
      <w:bookmarkEnd w:id="5"/>
      <w:r w:rsidRPr="000E68D0">
        <w:rPr>
          <w:rFonts w:ascii="仿宋_GB2312" w:eastAsia="仿宋_GB2312" w:hAnsi="宋体" w:cs="Arial" w:hint="eastAsia"/>
          <w:sz w:val="24"/>
        </w:rPr>
        <w:t>对本托管协议第十五条第</w:t>
      </w:r>
      <w:r w:rsidR="000D3411" w:rsidRPr="000E68D0">
        <w:rPr>
          <w:rFonts w:ascii="仿宋_GB2312" w:eastAsia="仿宋_GB2312" w:hAnsi="宋体" w:cs="Arial" w:hint="eastAsia"/>
          <w:sz w:val="24"/>
        </w:rPr>
        <w:t>（</w:t>
      </w:r>
      <w:r w:rsidRPr="000E68D0">
        <w:rPr>
          <w:rFonts w:ascii="仿宋_GB2312" w:eastAsia="仿宋_GB2312" w:hAnsi="宋体" w:cs="Arial" w:hint="eastAsia"/>
          <w:sz w:val="24"/>
        </w:rPr>
        <w:t>九</w:t>
      </w:r>
      <w:r w:rsidR="000D3411" w:rsidRPr="000E68D0">
        <w:rPr>
          <w:rFonts w:ascii="仿宋_GB2312" w:eastAsia="仿宋_GB2312" w:hAnsi="宋体" w:cs="Arial" w:hint="eastAsia"/>
          <w:sz w:val="24"/>
        </w:rPr>
        <w:t>）</w:t>
      </w:r>
      <w:proofErr w:type="gramStart"/>
      <w:r w:rsidRPr="000E68D0">
        <w:rPr>
          <w:rFonts w:ascii="仿宋_GB2312" w:eastAsia="仿宋_GB2312" w:hAnsi="宋体" w:cs="Arial" w:hint="eastAsia"/>
          <w:sz w:val="24"/>
        </w:rPr>
        <w:t>款基金</w:t>
      </w:r>
      <w:proofErr w:type="gramEnd"/>
      <w:r w:rsidRPr="000E68D0">
        <w:rPr>
          <w:rFonts w:ascii="仿宋_GB2312" w:eastAsia="仿宋_GB2312" w:hAnsi="宋体" w:cs="Arial" w:hint="eastAsia"/>
          <w:sz w:val="24"/>
        </w:rPr>
        <w:t>投资禁止行为通过事后监督方式进行监督。</w:t>
      </w:r>
    </w:p>
    <w:p w14:paraId="1FC9AD86" w14:textId="69C127C9"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w:t>
      </w:r>
      <w:r w:rsidR="0031399C" w:rsidRPr="000E68D0">
        <w:rPr>
          <w:rFonts w:ascii="仿宋_GB2312" w:eastAsia="仿宋_GB2312" w:hAnsi="宋体" w:cs="Arial" w:hint="eastAsia"/>
          <w:bCs/>
          <w:sz w:val="24"/>
        </w:rPr>
        <w:t>本</w:t>
      </w:r>
      <w:r w:rsidRPr="000E68D0">
        <w:rPr>
          <w:rFonts w:ascii="仿宋_GB2312" w:eastAsia="仿宋_GB2312" w:hAnsi="宋体" w:cs="Arial" w:hint="eastAsia"/>
          <w:bCs/>
          <w:sz w:val="24"/>
        </w:rPr>
        <w:t>基金的投资目标和投资策略，遵循基金份额</w:t>
      </w:r>
      <w:r w:rsidRPr="000E68D0">
        <w:rPr>
          <w:rFonts w:ascii="仿宋_GB2312" w:eastAsia="仿宋_GB2312" w:hAnsi="宋体" w:cs="Arial" w:hint="eastAsia"/>
          <w:bCs/>
          <w:sz w:val="24"/>
        </w:rPr>
        <w:lastRenderedPageBreak/>
        <w:t>持有人利益优先的原则，防范利益冲突，建立健全内部审批机制和评估机制，按照市场公平合理价格执行。相关交易必须事先得到基金托管人的同意，并</w:t>
      </w:r>
      <w:r w:rsidR="00391B83" w:rsidRPr="000E68D0">
        <w:rPr>
          <w:rFonts w:ascii="仿宋_GB2312" w:eastAsia="仿宋_GB2312" w:hAnsi="宋体" w:cs="Arial" w:hint="eastAsia"/>
          <w:bCs/>
          <w:sz w:val="24"/>
        </w:rPr>
        <w:t>按法律法规予以披露</w:t>
      </w:r>
      <w:r w:rsidRPr="000E68D0">
        <w:rPr>
          <w:rFonts w:ascii="仿宋_GB2312" w:eastAsia="仿宋_GB2312" w:hAnsi="宋体" w:cs="Arial" w:hint="eastAsia"/>
          <w:bCs/>
          <w:sz w:val="24"/>
        </w:rPr>
        <w:t>。重大关联交易应提交基金管理人董事会审议，并经过三分之二以上</w:t>
      </w:r>
      <w:r w:rsidR="00694459" w:rsidRPr="000E68D0">
        <w:rPr>
          <w:rFonts w:ascii="仿宋_GB2312" w:eastAsia="仿宋_GB2312" w:hAnsi="宋体" w:cs="Arial" w:hint="eastAsia"/>
          <w:bCs/>
          <w:sz w:val="24"/>
        </w:rPr>
        <w:t>（含三分之二）</w:t>
      </w:r>
      <w:r w:rsidRPr="000E68D0">
        <w:rPr>
          <w:rFonts w:ascii="仿宋_GB2312" w:eastAsia="仿宋_GB2312" w:hAnsi="宋体" w:cs="Arial" w:hint="eastAsia"/>
          <w:bCs/>
          <w:sz w:val="24"/>
        </w:rPr>
        <w:t>的独立董事通过。基金管理人董事会应至少每半年对关联交易事项进行审查。</w:t>
      </w:r>
    </w:p>
    <w:p w14:paraId="1712B75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rPr>
      </w:pPr>
      <w:r w:rsidRPr="000E68D0">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r w:rsidR="00386B34" w:rsidRPr="000E68D0">
        <w:rPr>
          <w:rFonts w:ascii="仿宋_GB2312" w:eastAsia="仿宋_GB2312" w:hAnsi="宋体" w:cs="Arial" w:hint="eastAsia"/>
          <w:sz w:val="24"/>
        </w:rPr>
        <w:t>如基金管理人未提供名单，视为可与全市场交易对手进行交易。</w:t>
      </w:r>
    </w:p>
    <w:p w14:paraId="722A3007" w14:textId="6AB46006" w:rsidR="005B35D2" w:rsidRPr="000E68D0" w:rsidRDefault="005B35D2">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基金管理人负责对交易对手的资信控制，按银行间债券市场的交易规则进行交易，并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时间前仍未承担违约责任及其他相关法律责任的，基金管理人</w:t>
      </w:r>
      <w:r w:rsidR="00494541" w:rsidRPr="000E68D0">
        <w:rPr>
          <w:rFonts w:ascii="仿宋_GB2312" w:eastAsia="仿宋_GB2312" w:hAnsi="宋体" w:cs="Arial" w:hint="eastAsia"/>
          <w:color w:val="000000"/>
          <w:sz w:val="24"/>
        </w:rPr>
        <w:t>可以对相应损失先行予以承担，然后再</w:t>
      </w:r>
      <w:r w:rsidRPr="000E68D0">
        <w:rPr>
          <w:rFonts w:ascii="仿宋_GB2312" w:eastAsia="仿宋_GB2312" w:hAnsi="宋体" w:cs="Arial" w:hint="eastAsia"/>
          <w:color w:val="000000"/>
          <w:sz w:val="24"/>
        </w:rPr>
        <w:t>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AB20CEB" w14:textId="0A9E337E"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（五）基金托管人根据有关法律法规的规定及《基金合同》的约定，对基金管理人投资流通受限证券进行监督。</w:t>
      </w:r>
    </w:p>
    <w:p w14:paraId="5BA65D6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859FD94" w14:textId="422DC609"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E68D0">
        <w:rPr>
          <w:rFonts w:ascii="仿宋_GB2312" w:eastAsia="仿宋_GB2312" w:hAnsi="宋体" w:cs="Arial" w:hint="eastAsia"/>
          <w:color w:val="000000"/>
          <w:sz w:val="24"/>
        </w:rPr>
        <w:t>券</w:t>
      </w:r>
      <w:proofErr w:type="gramEnd"/>
      <w:r w:rsidRPr="000E68D0">
        <w:rPr>
          <w:rFonts w:ascii="仿宋_GB2312" w:eastAsia="仿宋_GB2312" w:hAnsi="宋体" w:cs="Arial" w:hint="eastAsia"/>
          <w:color w:val="000000"/>
          <w:sz w:val="24"/>
        </w:rPr>
        <w:t>等流通受限证券。本基金不投资有</w:t>
      </w:r>
      <w:proofErr w:type="gramStart"/>
      <w:r w:rsidRPr="000E68D0">
        <w:rPr>
          <w:rFonts w:ascii="仿宋_GB2312" w:eastAsia="仿宋_GB2312" w:hAnsi="宋体" w:cs="Arial" w:hint="eastAsia"/>
          <w:color w:val="000000"/>
          <w:sz w:val="24"/>
        </w:rPr>
        <w:t>锁定期但锁定</w:t>
      </w:r>
      <w:proofErr w:type="gramEnd"/>
      <w:r w:rsidRPr="000E68D0">
        <w:rPr>
          <w:rFonts w:ascii="仿宋_GB2312" w:eastAsia="仿宋_GB2312" w:hAnsi="宋体" w:cs="Arial" w:hint="eastAsia"/>
          <w:color w:val="000000"/>
          <w:sz w:val="24"/>
        </w:rPr>
        <w:t>期不明确的证券。</w:t>
      </w:r>
    </w:p>
    <w:p w14:paraId="4F61E35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lastRenderedPageBreak/>
        <w:t>本基金投资的流通受限证券限于可由中国证券登记结算有限责任公司或中央国债登记结算有限责任公司负责登记和存管，并可在证券交易所或全国银行间债券市场交易的证券。</w:t>
      </w:r>
    </w:p>
    <w:p w14:paraId="795B72DE" w14:textId="735C672D"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本基金投资的流通受限证券应保证登记存管在本基金名下，基金管理人负责相关工作的落实和协调，并确保基金托管人能够正常查询。因基金管理</w:t>
      </w:r>
      <w:proofErr w:type="gramStart"/>
      <w:r w:rsidRPr="000E68D0">
        <w:rPr>
          <w:rFonts w:ascii="仿宋_GB2312" w:eastAsia="仿宋_GB2312" w:hAnsi="宋体" w:cs="Arial" w:hint="eastAsia"/>
          <w:color w:val="000000"/>
          <w:sz w:val="24"/>
        </w:rPr>
        <w:t>人原因</w:t>
      </w:r>
      <w:proofErr w:type="gramEnd"/>
      <w:r w:rsidRPr="000E68D0">
        <w:rPr>
          <w:rFonts w:ascii="仿宋_GB2312" w:eastAsia="仿宋_GB2312" w:hAnsi="宋体" w:cs="Arial" w:hint="eastAsia"/>
          <w:color w:val="000000"/>
          <w:sz w:val="24"/>
        </w:rPr>
        <w:t>产生的流通受限证券登记存管问题，造成基金托管人无法安全保管本基金资产的责任与损失，及因流通受限证券存管直接影响本基金安全的责任及损失，由基金管理人承担。</w:t>
      </w:r>
    </w:p>
    <w:p w14:paraId="4452AEED" w14:textId="296BCB3C" w:rsidR="00505116" w:rsidRPr="000E68D0" w:rsidRDefault="00690C57">
      <w:pPr>
        <w:tabs>
          <w:tab w:val="left" w:pos="6838"/>
        </w:tabs>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本基金投资流通受限证券，不得预付任何形式的保证金</w:t>
      </w:r>
      <w:r w:rsidR="0063528C" w:rsidRPr="000E68D0">
        <w:rPr>
          <w:rFonts w:ascii="仿宋_GB2312" w:eastAsia="仿宋_GB2312" w:hAnsi="宋体" w:cs="Arial" w:hint="eastAsia"/>
          <w:color w:val="000000"/>
          <w:sz w:val="24"/>
        </w:rPr>
        <w:t>，</w:t>
      </w:r>
      <w:proofErr w:type="gramStart"/>
      <w:r w:rsidR="0063528C" w:rsidRPr="000E68D0">
        <w:rPr>
          <w:rFonts w:ascii="仿宋_GB2312" w:eastAsia="仿宋_GB2312" w:hAnsi="宋体" w:cs="Arial" w:hint="eastAsia"/>
          <w:color w:val="000000"/>
          <w:sz w:val="24"/>
        </w:rPr>
        <w:t>若法规</w:t>
      </w:r>
      <w:proofErr w:type="gramEnd"/>
      <w:r w:rsidR="0063528C" w:rsidRPr="000E68D0">
        <w:rPr>
          <w:rFonts w:ascii="仿宋_GB2312" w:eastAsia="仿宋_GB2312" w:hAnsi="宋体" w:cs="Arial" w:hint="eastAsia"/>
          <w:color w:val="000000"/>
          <w:sz w:val="24"/>
        </w:rPr>
        <w:t>有新规定的按照新的规定执行</w:t>
      </w:r>
      <w:r w:rsidRPr="000E68D0">
        <w:rPr>
          <w:rFonts w:ascii="仿宋_GB2312" w:eastAsia="仿宋_GB2312" w:hAnsi="宋体" w:cs="Arial" w:hint="eastAsia"/>
          <w:color w:val="000000"/>
          <w:sz w:val="24"/>
        </w:rPr>
        <w:t>。</w:t>
      </w:r>
      <w:r w:rsidRPr="000E68D0">
        <w:rPr>
          <w:rFonts w:ascii="仿宋_GB2312" w:eastAsia="仿宋_GB2312" w:hAnsi="宋体" w:cs="Arial" w:hint="eastAsia"/>
          <w:color w:val="000000"/>
          <w:sz w:val="24"/>
        </w:rPr>
        <w:tab/>
      </w:r>
    </w:p>
    <w:p w14:paraId="330D92B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AC331EE" w14:textId="27608302"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w:t>
      </w:r>
      <w:r w:rsidR="0063528C" w:rsidRPr="000E68D0">
        <w:rPr>
          <w:rFonts w:ascii="仿宋_GB2312" w:eastAsia="仿宋_GB2312" w:hAnsi="宋体" w:cs="Arial" w:hint="eastAsia"/>
          <w:color w:val="000000"/>
          <w:sz w:val="24"/>
        </w:rPr>
        <w:t>并承担相应责任</w:t>
      </w:r>
      <w:r w:rsidRPr="000E68D0">
        <w:rPr>
          <w:rFonts w:ascii="仿宋_GB2312" w:eastAsia="仿宋_GB2312" w:hAnsi="宋体" w:cs="Arial" w:hint="eastAsia"/>
          <w:color w:val="000000"/>
          <w:sz w:val="24"/>
        </w:rPr>
        <w:t>。对本基金因投资流通受限证券导致的流动性风险，基金托管人不承担任何责任。</w:t>
      </w:r>
    </w:p>
    <w:p w14:paraId="1D5F461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如因基金管理</w:t>
      </w:r>
      <w:proofErr w:type="gramStart"/>
      <w:r w:rsidRPr="000E68D0">
        <w:rPr>
          <w:rFonts w:ascii="仿宋_GB2312" w:eastAsia="仿宋_GB2312" w:hAnsi="宋体" w:cs="Arial" w:hint="eastAsia"/>
          <w:color w:val="000000"/>
          <w:sz w:val="24"/>
        </w:rPr>
        <w:t>人原因</w:t>
      </w:r>
      <w:proofErr w:type="gramEnd"/>
      <w:r w:rsidRPr="000E68D0">
        <w:rPr>
          <w:rFonts w:ascii="仿宋_GB2312" w:eastAsia="仿宋_GB2312" w:hAnsi="宋体" w:cs="Arial" w:hint="eastAsia"/>
          <w:color w:val="000000"/>
          <w:sz w:val="24"/>
        </w:rPr>
        <w:t>导致本基金出现损失致使基金托管人承担连带赔偿责任的，基金管理人应赔偿基金托管人由此遭受的损失。</w:t>
      </w:r>
    </w:p>
    <w:p w14:paraId="6B0F9C0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0E22FB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（1）中国证监会批准发行非公开发行股票的批准文件。</w:t>
      </w:r>
    </w:p>
    <w:p w14:paraId="104DFBC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（2）非公开发行股票有关发行数量、发行价格、锁定期等发行资料。</w:t>
      </w:r>
    </w:p>
    <w:p w14:paraId="1AC0581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（3）非公开发行股票发行人与中国证券登记结算有限责任公司或中央国债登记结算有限责任公司签订的证券登记及服务协议。</w:t>
      </w:r>
    </w:p>
    <w:p w14:paraId="5FFFFB3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（4）基金拟认购的数量、价格、总成本、账面价值。</w:t>
      </w:r>
    </w:p>
    <w:p w14:paraId="7A5541C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lastRenderedPageBreak/>
        <w:t>4.基金管理人应在本基金投资非公开发行股票后两个交易日内，在中国证监会</w:t>
      </w:r>
      <w:r w:rsidR="0084425E" w:rsidRPr="000E68D0">
        <w:rPr>
          <w:rFonts w:ascii="仿宋_GB2312" w:eastAsia="仿宋_GB2312" w:hAnsi="宋体" w:cs="Arial" w:hint="eastAsia"/>
          <w:color w:val="000000"/>
          <w:sz w:val="24"/>
        </w:rPr>
        <w:t>规</w:t>
      </w:r>
      <w:r w:rsidRPr="000E68D0">
        <w:rPr>
          <w:rFonts w:ascii="仿宋_GB2312" w:eastAsia="仿宋_GB2312" w:hAnsi="宋体" w:cs="Arial" w:hint="eastAsia"/>
          <w:color w:val="000000"/>
          <w:sz w:val="24"/>
        </w:rPr>
        <w:t>定媒介披露所投资非公开发行股票的名称、数量、总成本、账面价值，以及总成本和账面价值占基金资产净值的比例、锁定期等信息。</w:t>
      </w:r>
    </w:p>
    <w:p w14:paraId="33CA20A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5.基金托管人根据有关规定有权对基金管理人进行以下事项监督：</w:t>
      </w:r>
    </w:p>
    <w:p w14:paraId="6C527B2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（1）本基金投资流通受限证券时的法律法规遵守情况。</w:t>
      </w:r>
    </w:p>
    <w:p w14:paraId="334B8FF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（2）在基金投资流通受限证券管理工作方面有关制度、流动性风险处置预案的建立与完善情况。</w:t>
      </w:r>
    </w:p>
    <w:p w14:paraId="74DFAA7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（3）有关比例限制的执行情况。</w:t>
      </w:r>
    </w:p>
    <w:p w14:paraId="439B4AA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（4）信息披露情况。</w:t>
      </w:r>
    </w:p>
    <w:p w14:paraId="378AF3B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color w:val="000000"/>
          <w:sz w:val="24"/>
        </w:rPr>
      </w:pPr>
      <w:r w:rsidRPr="000E68D0">
        <w:rPr>
          <w:rFonts w:ascii="仿宋_GB2312" w:eastAsia="仿宋_GB2312" w:hAnsi="宋体" w:cs="Arial" w:hint="eastAsia"/>
          <w:color w:val="000000"/>
          <w:sz w:val="24"/>
        </w:rPr>
        <w:t>6.相关法律法规对基金投资流通受限证券有新规定的，从其规定。</w:t>
      </w:r>
    </w:p>
    <w:p w14:paraId="68B42BD6" w14:textId="2C4DCEEE" w:rsidR="00505116" w:rsidRPr="000E68D0" w:rsidRDefault="003C55D6" w:rsidP="003C55D6">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w:t>
      </w:r>
      <w:r w:rsidR="00B3776D" w:rsidRPr="000E68D0">
        <w:rPr>
          <w:rFonts w:ascii="仿宋_GB2312" w:eastAsia="仿宋_GB2312" w:hAnsi="宋体" w:cs="Arial" w:hint="eastAsia"/>
          <w:sz w:val="24"/>
        </w:rPr>
        <w:t>六</w:t>
      </w:r>
      <w:r w:rsidRPr="000E68D0">
        <w:rPr>
          <w:rFonts w:ascii="仿宋_GB2312" w:eastAsia="仿宋_GB2312" w:hAnsi="宋体" w:cs="Arial" w:hint="eastAsia"/>
          <w:sz w:val="24"/>
        </w:rPr>
        <w:t>）</w:t>
      </w:r>
      <w:r w:rsidR="00690C57" w:rsidRPr="000E68D0">
        <w:rPr>
          <w:rFonts w:ascii="仿宋_GB2312" w:eastAsia="仿宋_GB2312" w:hAnsi="宋体" w:cs="Arial" w:hint="eastAsia"/>
          <w:sz w:val="24"/>
        </w:rPr>
        <w:t>基金托管人根据有关法律法规的规定及《基金合同》的约定，对基金资产净值计算、</w:t>
      </w:r>
      <w:r w:rsidR="00386B34" w:rsidRPr="000E68D0">
        <w:rPr>
          <w:rFonts w:ascii="仿宋_GB2312" w:eastAsia="仿宋_GB2312" w:hAnsi="宋体" w:cs="Arial" w:hint="eastAsia"/>
          <w:sz w:val="24"/>
        </w:rPr>
        <w:t>各类</w:t>
      </w:r>
      <w:r w:rsidR="00690C57" w:rsidRPr="000E68D0">
        <w:rPr>
          <w:rFonts w:ascii="仿宋_GB2312" w:eastAsia="仿宋_GB2312" w:hAnsi="宋体" w:cs="Arial" w:hint="eastAsia"/>
          <w:sz w:val="24"/>
        </w:rPr>
        <w:t>基金份额净值计算、应收资金到账、基金费用开支及收入确定、基金收益分配、相关信息披露、基金宣传推介材料中登载基金业绩表现数据等进行监督和核查。</w:t>
      </w:r>
    </w:p>
    <w:p w14:paraId="63029CB6" w14:textId="3CCD925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w:t>
      </w:r>
      <w:r w:rsidR="00B3776D" w:rsidRPr="000E68D0">
        <w:rPr>
          <w:rFonts w:ascii="仿宋_GB2312" w:eastAsia="仿宋_GB2312" w:hAnsi="宋体" w:cs="Arial" w:hint="eastAsia"/>
          <w:sz w:val="24"/>
        </w:rPr>
        <w:t>七</w:t>
      </w:r>
      <w:r w:rsidRPr="000E68D0">
        <w:rPr>
          <w:rFonts w:ascii="仿宋_GB2312" w:eastAsia="仿宋_GB2312" w:hAnsi="宋体" w:cs="Arial" w:hint="eastAsia"/>
          <w:sz w:val="24"/>
        </w:rPr>
        <w:t>）基金托管人发现基金管理人的上述事项及投资指令或实际投资运作违反法律法规、《基金合同》和本托管协议的规定，应及时以书面</w:t>
      </w:r>
      <w:r w:rsidR="003C55D6" w:rsidRPr="000E68D0">
        <w:rPr>
          <w:rFonts w:ascii="仿宋_GB2312" w:eastAsia="仿宋_GB2312" w:hAnsi="宋体" w:cs="Arial" w:hint="eastAsia"/>
          <w:sz w:val="24"/>
        </w:rPr>
        <w:t>形式</w:t>
      </w:r>
      <w:r w:rsidRPr="000E68D0">
        <w:rPr>
          <w:rFonts w:ascii="仿宋_GB2312" w:eastAsia="仿宋_GB2312" w:hAnsi="宋体" w:cs="Arial" w:hint="eastAsia"/>
          <w:sz w:val="24"/>
        </w:rPr>
        <w:t>通知基金管理人限期纠正。基金管理人应积极配合和协助基金托管人的监督和核查。基金管理人收到书面通知后应及时核对并以</w:t>
      </w:r>
      <w:r w:rsidR="002108C0" w:rsidRPr="000E68D0">
        <w:rPr>
          <w:rFonts w:ascii="仿宋_GB2312" w:eastAsia="仿宋_GB2312" w:hAnsi="宋体" w:cs="Arial" w:hint="eastAsia"/>
          <w:sz w:val="24"/>
        </w:rPr>
        <w:t>电话或</w:t>
      </w:r>
      <w:r w:rsidRPr="000E68D0">
        <w:rPr>
          <w:rFonts w:ascii="仿宋_GB2312" w:eastAsia="仿宋_GB2312" w:hAnsi="宋体" w:cs="Arial" w:hint="eastAsia"/>
          <w:sz w:val="24"/>
        </w:rPr>
        <w:t>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642E880" w14:textId="3574505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w:t>
      </w:r>
      <w:r w:rsidR="00B3776D" w:rsidRPr="000E68D0">
        <w:rPr>
          <w:rFonts w:ascii="仿宋_GB2312" w:eastAsia="仿宋_GB2312" w:hAnsi="宋体" w:cs="Arial" w:hint="eastAsia"/>
          <w:sz w:val="24"/>
        </w:rPr>
        <w:t>八</w:t>
      </w:r>
      <w:r w:rsidRPr="000E68D0">
        <w:rPr>
          <w:rFonts w:ascii="仿宋_GB2312" w:eastAsia="仿宋_GB2312"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w:t>
      </w:r>
      <w:r w:rsidR="00316776" w:rsidRPr="000E68D0">
        <w:rPr>
          <w:rFonts w:ascii="仿宋_GB2312" w:eastAsia="仿宋_GB2312" w:hAnsi="宋体" w:cs="Arial" w:hint="eastAsia"/>
          <w:sz w:val="24"/>
        </w:rPr>
        <w:t>合理</w:t>
      </w:r>
      <w:r w:rsidRPr="000E68D0">
        <w:rPr>
          <w:rFonts w:ascii="仿宋_GB2312" w:eastAsia="仿宋_GB2312" w:hAnsi="宋体" w:cs="Arial" w:hint="eastAsia"/>
          <w:sz w:val="24"/>
        </w:rPr>
        <w:t>的疑义进行解释或举证；对基金托管人按照法律法规、《基金合同》和本托管协议的要求需向中国证监会报送基金监督报告的事项，基金管理人应积极配合提供相关数据资料和制度等。</w:t>
      </w:r>
    </w:p>
    <w:p w14:paraId="7FDE7666" w14:textId="6E115B62"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w:t>
      </w:r>
      <w:r w:rsidR="00B3776D" w:rsidRPr="000E68D0">
        <w:rPr>
          <w:rFonts w:ascii="仿宋_GB2312" w:eastAsia="仿宋_GB2312" w:hAnsi="宋体" w:cs="Arial" w:hint="eastAsia"/>
          <w:sz w:val="24"/>
        </w:rPr>
        <w:t>九</w:t>
      </w:r>
      <w:r w:rsidRPr="000E68D0">
        <w:rPr>
          <w:rFonts w:ascii="仿宋_GB2312" w:eastAsia="仿宋_GB2312" w:hAnsi="宋体" w:cs="Arial" w:hint="eastAsia"/>
          <w:sz w:val="24"/>
        </w:rPr>
        <w:t>）</w:t>
      </w:r>
      <w:proofErr w:type="gramStart"/>
      <w:r w:rsidRPr="000E68D0">
        <w:rPr>
          <w:rFonts w:ascii="仿宋_GB2312" w:eastAsia="仿宋_GB2312" w:hAnsi="宋体" w:cs="Arial" w:hint="eastAsia"/>
          <w:sz w:val="24"/>
        </w:rPr>
        <w:t>若基金</w:t>
      </w:r>
      <w:proofErr w:type="gramEnd"/>
      <w:r w:rsidRPr="000E68D0">
        <w:rPr>
          <w:rFonts w:ascii="仿宋_GB2312" w:eastAsia="仿宋_GB2312" w:hAnsi="宋体" w:cs="Arial" w:hint="eastAsia"/>
          <w:sz w:val="24"/>
        </w:rPr>
        <w:t>托管人发现基金管理人依据交易程序已经生效的指令违反法律、行政法规和其他有关规定，或者违反《基金合同》约定的，应当立即通知基金管理人</w:t>
      </w:r>
      <w:r w:rsidR="003D28AE" w:rsidRPr="000E68D0">
        <w:rPr>
          <w:rFonts w:ascii="仿宋_GB2312" w:eastAsia="仿宋_GB2312" w:hAnsi="宋体" w:cs="Arial" w:hint="eastAsia"/>
          <w:sz w:val="24"/>
        </w:rPr>
        <w:t>，由此造成的损失由基金管理人承担</w:t>
      </w:r>
      <w:r w:rsidRPr="000E68D0">
        <w:rPr>
          <w:rFonts w:ascii="仿宋_GB2312" w:eastAsia="仿宋_GB2312" w:hAnsi="宋体" w:cs="Arial" w:hint="eastAsia"/>
          <w:sz w:val="24"/>
        </w:rPr>
        <w:t>。</w:t>
      </w:r>
    </w:p>
    <w:p w14:paraId="147129A8" w14:textId="3EEB17C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（十）基金托管人发现基金管理人有重大违规行为，应及时报告中国证监会，</w:t>
      </w:r>
      <w:r w:rsidRPr="000E68D0">
        <w:rPr>
          <w:rFonts w:ascii="仿宋_GB2312" w:eastAsia="仿宋_GB2312" w:hAnsi="宋体" w:cs="Arial" w:hint="eastAsia"/>
          <w:sz w:val="24"/>
        </w:rPr>
        <w:lastRenderedPageBreak/>
        <w:t>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FE673" w14:textId="5BFC73A0" w:rsidR="00617FC5" w:rsidRPr="000E68D0" w:rsidRDefault="00617FC5">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（十</w:t>
      </w:r>
      <w:r w:rsidR="00B3776D" w:rsidRPr="000E68D0">
        <w:rPr>
          <w:rFonts w:ascii="仿宋_GB2312" w:eastAsia="仿宋_GB2312" w:hAnsi="宋体" w:cs="Arial" w:hint="eastAsia"/>
          <w:sz w:val="24"/>
        </w:rPr>
        <w:t>一</w:t>
      </w:r>
      <w:r w:rsidRPr="000E68D0">
        <w:rPr>
          <w:rFonts w:ascii="仿宋_GB2312" w:eastAsia="仿宋_GB2312" w:hAnsi="宋体" w:cs="Arial" w:hint="eastAsia"/>
          <w:sz w:val="24"/>
        </w:rPr>
        <w:t>）法律法规或监管部门对基金合同所述投资比例、投资限制、组合限制、禁止行为等</w:t>
      </w:r>
      <w:proofErr w:type="gramStart"/>
      <w:r w:rsidRPr="000E68D0">
        <w:rPr>
          <w:rFonts w:ascii="仿宋_GB2312" w:eastAsia="仿宋_GB2312" w:hAnsi="宋体" w:cs="Arial" w:hint="eastAsia"/>
          <w:sz w:val="24"/>
        </w:rPr>
        <w:t>作出</w:t>
      </w:r>
      <w:proofErr w:type="gramEnd"/>
      <w:r w:rsidRPr="000E68D0">
        <w:rPr>
          <w:rFonts w:ascii="仿宋_GB2312" w:eastAsia="仿宋_GB2312" w:hAnsi="宋体" w:cs="Arial"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457DC96" w14:textId="77777777" w:rsidR="00505116" w:rsidRPr="000E68D0" w:rsidRDefault="00505116">
      <w:pPr>
        <w:spacing w:before="240" w:after="240" w:line="276" w:lineRule="auto"/>
        <w:rPr>
          <w:rFonts w:ascii="仿宋_GB2312" w:eastAsia="仿宋_GB2312"/>
          <w:sz w:val="24"/>
        </w:rPr>
      </w:pPr>
    </w:p>
    <w:p w14:paraId="49B63611" w14:textId="77777777" w:rsidR="00505116" w:rsidRPr="000E68D0" w:rsidRDefault="00690C57">
      <w:pPr>
        <w:pStyle w:val="2"/>
        <w:spacing w:before="240" w:after="240" w:line="276" w:lineRule="auto"/>
        <w:jc w:val="center"/>
        <w:rPr>
          <w:rFonts w:ascii="仿宋_GB2312" w:eastAsia="仿宋_GB2312"/>
          <w:sz w:val="30"/>
        </w:rPr>
      </w:pPr>
      <w:bookmarkStart w:id="6" w:name="_Toc118972648"/>
      <w:bookmarkStart w:id="7" w:name="_Toc118774803"/>
      <w:bookmarkStart w:id="8" w:name="_Toc120435783"/>
      <w:bookmarkStart w:id="9" w:name="_Toc119402710"/>
      <w:bookmarkStart w:id="10" w:name="_Toc110765660"/>
      <w:bookmarkStart w:id="11" w:name="_Toc110830492"/>
      <w:bookmarkStart w:id="12" w:name="_Toc118212950"/>
      <w:bookmarkStart w:id="13" w:name="_Toc86726439"/>
      <w:bookmarkStart w:id="14" w:name="_Toc86727355"/>
      <w:bookmarkStart w:id="15" w:name="_Toc86737929"/>
      <w:bookmarkStart w:id="16" w:name="_Toc110761796"/>
      <w:bookmarkStart w:id="17" w:name="_Toc86223242"/>
      <w:bookmarkStart w:id="18" w:name="_Toc86649722"/>
      <w:bookmarkStart w:id="19" w:name="_Toc89163368"/>
      <w:bookmarkStart w:id="20" w:name="_Toc86225291"/>
      <w:bookmarkStart w:id="21" w:name="_Toc108512358"/>
      <w:bookmarkStart w:id="22" w:name="_Toc151104992"/>
      <w:r w:rsidRPr="000E68D0">
        <w:rPr>
          <w:rFonts w:ascii="仿宋_GB2312" w:eastAsia="仿宋_GB2312"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E450044"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386B34" w:rsidRPr="000E68D0">
        <w:rPr>
          <w:rFonts w:ascii="仿宋_GB2312" w:eastAsia="仿宋_GB2312" w:hAnsi="宋体" w:cs="Arial" w:hint="eastAsia"/>
          <w:sz w:val="24"/>
        </w:rPr>
        <w:t>各类</w:t>
      </w:r>
      <w:r w:rsidRPr="000E68D0">
        <w:rPr>
          <w:rFonts w:ascii="仿宋_GB2312" w:eastAsia="仿宋_GB2312" w:hAnsi="宋体" w:cs="Arial" w:hint="eastAsia"/>
          <w:sz w:val="24"/>
        </w:rPr>
        <w:t>基金份额净值、根据基金管理人指令办理清算交收、相关信息披露和监督基金投资运作等行为。</w:t>
      </w:r>
    </w:p>
    <w:p w14:paraId="68282597" w14:textId="7FC5A24F"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w:t>
      </w:r>
      <w:r w:rsidR="00386B34" w:rsidRPr="000E68D0">
        <w:rPr>
          <w:rFonts w:ascii="仿宋_GB2312" w:eastAsia="仿宋_GB2312" w:hAnsi="宋体" w:cs="Arial" w:hint="eastAsia"/>
          <w:sz w:val="24"/>
        </w:rPr>
        <w:t>书面</w:t>
      </w:r>
      <w:r w:rsidRPr="000E68D0">
        <w:rPr>
          <w:rFonts w:ascii="仿宋_GB2312" w:eastAsia="仿宋_GB2312" w:hAnsi="宋体" w:cs="Arial" w:hint="eastAsia"/>
          <w:sz w:val="24"/>
        </w:rPr>
        <w:t>通知后应</w:t>
      </w:r>
      <w:r w:rsidR="00386B34" w:rsidRPr="000E68D0">
        <w:rPr>
          <w:rFonts w:ascii="仿宋_GB2312" w:eastAsia="仿宋_GB2312" w:hAnsi="宋体" w:cs="Arial" w:hint="eastAsia"/>
          <w:sz w:val="24"/>
        </w:rPr>
        <w:t>在</w:t>
      </w:r>
      <w:r w:rsidRPr="000E68D0">
        <w:rPr>
          <w:rFonts w:ascii="仿宋_GB2312" w:eastAsia="仿宋_GB2312" w:hAnsi="宋体" w:cs="Arial" w:hint="eastAsia"/>
          <w:sz w:val="24"/>
        </w:rPr>
        <w:t>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E68D0">
        <w:rPr>
          <w:rFonts w:ascii="仿宋_GB2312" w:eastAsia="仿宋_GB2312" w:hAnsi="宋体" w:cs="Arial" w:hint="eastAsia"/>
          <w:sz w:val="24"/>
        </w:rPr>
        <w:t>供基金</w:t>
      </w:r>
      <w:proofErr w:type="gramEnd"/>
      <w:r w:rsidRPr="000E68D0">
        <w:rPr>
          <w:rFonts w:ascii="仿宋_GB2312" w:eastAsia="仿宋_GB2312" w:hAnsi="宋体" w:cs="Arial" w:hint="eastAsia"/>
          <w:sz w:val="24"/>
        </w:rPr>
        <w:t>管理人核查托管财产的完整性和真实性，在规定时间内答复基金管理人并改正。</w:t>
      </w:r>
    </w:p>
    <w:p w14:paraId="6736F97B"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30DC58A" w14:textId="77777777" w:rsidR="00505116" w:rsidRPr="000E68D0" w:rsidRDefault="00505116">
      <w:pPr>
        <w:spacing w:before="240" w:after="240" w:line="276" w:lineRule="auto"/>
        <w:rPr>
          <w:rFonts w:ascii="仿宋_GB2312" w:eastAsia="仿宋_GB2312"/>
          <w:sz w:val="24"/>
        </w:rPr>
      </w:pPr>
    </w:p>
    <w:p w14:paraId="02602185" w14:textId="77777777" w:rsidR="00505116" w:rsidRPr="000E68D0" w:rsidRDefault="00690C57">
      <w:pPr>
        <w:pStyle w:val="2"/>
        <w:spacing w:before="240" w:after="240" w:line="276" w:lineRule="auto"/>
        <w:jc w:val="center"/>
        <w:rPr>
          <w:rFonts w:ascii="仿宋_GB2312" w:eastAsia="仿宋_GB2312"/>
          <w:sz w:val="30"/>
        </w:rPr>
      </w:pPr>
      <w:bookmarkStart w:id="23" w:name="_Toc86649723"/>
      <w:bookmarkStart w:id="24" w:name="_Toc118212951"/>
      <w:bookmarkStart w:id="25" w:name="_Toc118774804"/>
      <w:bookmarkStart w:id="26" w:name="_Toc84133786"/>
      <w:bookmarkStart w:id="27" w:name="_Toc86737930"/>
      <w:bookmarkStart w:id="28" w:name="_Toc110830493"/>
      <w:bookmarkStart w:id="29" w:name="_Toc86726440"/>
      <w:bookmarkStart w:id="30" w:name="_Toc119402711"/>
      <w:bookmarkStart w:id="31" w:name="_Toc120435784"/>
      <w:bookmarkStart w:id="32" w:name="_Toc108512359"/>
      <w:bookmarkStart w:id="33" w:name="_Toc84234435"/>
      <w:bookmarkStart w:id="34" w:name="_Toc86204789"/>
      <w:bookmarkStart w:id="35" w:name="_Toc84234388"/>
      <w:bookmarkStart w:id="36" w:name="_Toc86225292"/>
      <w:bookmarkStart w:id="37" w:name="_Toc110761797"/>
      <w:bookmarkStart w:id="38" w:name="_Toc86727356"/>
      <w:bookmarkStart w:id="39" w:name="_Toc89163369"/>
      <w:bookmarkStart w:id="40" w:name="_Toc118972649"/>
      <w:bookmarkStart w:id="41" w:name="_Toc110765661"/>
      <w:bookmarkStart w:id="42" w:name="_Toc86223243"/>
      <w:bookmarkStart w:id="43" w:name="_Toc151104993"/>
      <w:r w:rsidRPr="000E68D0">
        <w:rPr>
          <w:rFonts w:ascii="仿宋_GB2312" w:eastAsia="仿宋_GB2312"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CF28B63"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（一）基金财产保管的原则</w:t>
      </w:r>
    </w:p>
    <w:p w14:paraId="3FDA24E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1.基金财产应独立于基金管理人、基金托管人的固有财产。</w:t>
      </w:r>
    </w:p>
    <w:p w14:paraId="2EC70E9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2.基金托管人应安全保管基金财产。</w:t>
      </w:r>
    </w:p>
    <w:p w14:paraId="25874159"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3.基金托管人按照规定开设基金财产的资金账户和证券账户等投资所需账户。</w:t>
      </w:r>
    </w:p>
    <w:p w14:paraId="50E2B74B"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4.基金托管人对所托管的不同基金财产分别设置账户，确保基金财产的完整与独立。</w:t>
      </w:r>
    </w:p>
    <w:p w14:paraId="249E886C"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5.基金托管人按照《基金合同》和本协议的约定保管基金财产，如有特殊情况双方可另行协商解决。基金</w:t>
      </w:r>
      <w:r w:rsidRPr="000E68D0">
        <w:rPr>
          <w:rFonts w:ascii="仿宋_GB2312" w:eastAsia="仿宋_GB2312"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0E68D0">
        <w:rPr>
          <w:rFonts w:ascii="仿宋_GB2312" w:eastAsia="仿宋_GB2312" w:hint="eastAsia"/>
          <w:sz w:val="24"/>
        </w:rPr>
        <w:t>收交易</w:t>
      </w:r>
      <w:proofErr w:type="gramEnd"/>
      <w:r w:rsidRPr="000E68D0">
        <w:rPr>
          <w:rFonts w:ascii="仿宋_GB2312" w:eastAsia="仿宋_GB2312" w:hint="eastAsia"/>
          <w:sz w:val="24"/>
        </w:rPr>
        <w:t>费、结算费和账户维护费等费用）。</w:t>
      </w:r>
    </w:p>
    <w:p w14:paraId="70E45858" w14:textId="0DCE198E"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3C55D6" w:rsidRPr="000E68D0">
        <w:rPr>
          <w:rFonts w:ascii="仿宋_GB2312" w:eastAsia="仿宋_GB2312" w:hAnsi="宋体" w:cs="Arial" w:hint="eastAsia"/>
          <w:sz w:val="24"/>
        </w:rPr>
        <w:t>，但应予以必要的协助和配合</w:t>
      </w:r>
      <w:r w:rsidRPr="000E68D0">
        <w:rPr>
          <w:rFonts w:ascii="仿宋_GB2312" w:eastAsia="仿宋_GB2312" w:hAnsi="宋体" w:cs="Arial" w:hint="eastAsia"/>
          <w:sz w:val="24"/>
        </w:rPr>
        <w:t>。</w:t>
      </w:r>
    </w:p>
    <w:p w14:paraId="031E2241"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7.除依据法律法规和《基金合同》的规定外，基金托管人不得委托第三人托管基金财产。</w:t>
      </w:r>
    </w:p>
    <w:p w14:paraId="3614DBE0"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（二）基金募集期间及募集资金的验资</w:t>
      </w:r>
    </w:p>
    <w:p w14:paraId="5943E60F"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14:paraId="1CDDBB72" w14:textId="662EA488"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2.基金募集期满或基金停止募集时，</w:t>
      </w:r>
      <w:r w:rsidR="00C079E6" w:rsidRPr="000E68D0">
        <w:rPr>
          <w:rFonts w:ascii="仿宋_GB2312" w:eastAsia="仿宋_GB2312" w:hAnsi="宋体" w:cs="Arial" w:hint="eastAsia"/>
          <w:sz w:val="24"/>
        </w:rPr>
        <w:t>发起资金的认购金额、发起资金提供方及其承诺的持有期限</w:t>
      </w:r>
      <w:r w:rsidRPr="000E68D0">
        <w:rPr>
          <w:rFonts w:ascii="仿宋_GB2312" w:eastAsia="仿宋_GB2312" w:hAnsi="宋体" w:cs="Arial" w:hint="eastAsia"/>
          <w:sz w:val="24"/>
        </w:rPr>
        <w:t>符合《基金法》、《运作办法》等有关规定后，基金管理人应将属于基金财产的全部资金划入基金托管人开立的基金银行账户，同时在规定时间内，聘请</w:t>
      </w:r>
      <w:r w:rsidR="008E20CF" w:rsidRPr="000E68D0">
        <w:rPr>
          <w:rFonts w:ascii="仿宋_GB2312" w:eastAsia="仿宋_GB2312" w:hAnsi="宋体" w:cs="Arial" w:hint="eastAsia"/>
          <w:sz w:val="24"/>
        </w:rPr>
        <w:t>符合《中华人民共和国证券法》规定</w:t>
      </w:r>
      <w:r w:rsidRPr="000E68D0">
        <w:rPr>
          <w:rFonts w:ascii="仿宋_GB2312" w:eastAsia="仿宋_GB2312" w:hAnsi="宋体" w:cs="Arial" w:hint="eastAsia"/>
          <w:sz w:val="24"/>
        </w:rPr>
        <w:t>的会计师事务所进行验资，出具验资报告</w:t>
      </w:r>
      <w:r w:rsidR="00C079E6" w:rsidRPr="000E68D0">
        <w:rPr>
          <w:rFonts w:ascii="仿宋_GB2312" w:eastAsia="仿宋_GB2312" w:hAnsi="宋体" w:cs="Arial" w:hint="eastAsia"/>
          <w:sz w:val="24"/>
        </w:rPr>
        <w:t>，验资报告需对发起资金提供方及其持有份额进行专门说明</w:t>
      </w:r>
      <w:r w:rsidRPr="000E68D0">
        <w:rPr>
          <w:rFonts w:ascii="仿宋_GB2312" w:eastAsia="仿宋_GB2312" w:hAnsi="宋体" w:cs="Arial" w:hint="eastAsia"/>
          <w:sz w:val="24"/>
        </w:rPr>
        <w:t>。出具的验资报告由参加验资的2名或2名以上中国注册会计师签字方为有效。</w:t>
      </w:r>
    </w:p>
    <w:p w14:paraId="016CD0C5" w14:textId="2CA6CF75"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w:t>
      </w:r>
      <w:proofErr w:type="gramStart"/>
      <w:r w:rsidRPr="000E68D0">
        <w:rPr>
          <w:rFonts w:ascii="仿宋_GB2312" w:eastAsia="仿宋_GB2312" w:hAnsi="宋体" w:cs="Arial" w:hint="eastAsia"/>
          <w:sz w:val="24"/>
        </w:rPr>
        <w:t>若基金</w:t>
      </w:r>
      <w:proofErr w:type="gramEnd"/>
      <w:r w:rsidRPr="000E68D0">
        <w:rPr>
          <w:rFonts w:ascii="仿宋_GB2312" w:eastAsia="仿宋_GB2312" w:hAnsi="宋体" w:cs="Arial" w:hint="eastAsia"/>
          <w:sz w:val="24"/>
        </w:rPr>
        <w:t>募集期限届满，未能达到《基金合同》生效的条件，由基金管理人按规定办理退款等事宜</w:t>
      </w:r>
      <w:r w:rsidR="00EC65F8" w:rsidRPr="000E68D0">
        <w:rPr>
          <w:rFonts w:ascii="仿宋_GB2312" w:eastAsia="仿宋_GB2312" w:hAnsi="宋体" w:cs="Arial" w:hint="eastAsia"/>
          <w:sz w:val="24"/>
        </w:rPr>
        <w:t>，基金托管人应予以必要的协助和配合</w:t>
      </w:r>
      <w:r w:rsidRPr="000E68D0">
        <w:rPr>
          <w:rFonts w:ascii="仿宋_GB2312" w:eastAsia="仿宋_GB2312" w:hAnsi="宋体" w:cs="Arial" w:hint="eastAsia"/>
          <w:sz w:val="24"/>
        </w:rPr>
        <w:t>。</w:t>
      </w:r>
    </w:p>
    <w:p w14:paraId="4691CC90"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lastRenderedPageBreak/>
        <w:t>（三）基金银行账户的开立和管理</w:t>
      </w:r>
    </w:p>
    <w:p w14:paraId="62619697"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1.基金托管人可以基金的名义在其营业机构开立基金的银行账户，并根据基金管理人合法合</w:t>
      </w:r>
      <w:proofErr w:type="gramStart"/>
      <w:r w:rsidRPr="000E68D0">
        <w:rPr>
          <w:rFonts w:ascii="仿宋_GB2312" w:eastAsia="仿宋_GB2312" w:hAnsi="宋体" w:cs="Arial" w:hint="eastAsia"/>
          <w:sz w:val="24"/>
        </w:rPr>
        <w:t>规</w:t>
      </w:r>
      <w:proofErr w:type="gramEnd"/>
      <w:r w:rsidRPr="000E68D0">
        <w:rPr>
          <w:rFonts w:ascii="仿宋_GB2312" w:eastAsia="仿宋_GB2312" w:hAnsi="宋体" w:cs="Arial" w:hint="eastAsia"/>
          <w:sz w:val="24"/>
        </w:rPr>
        <w:t>的指令办理资金收付。本基金的银行预留印鉴由基金托管人保管和使用。</w:t>
      </w:r>
    </w:p>
    <w:p w14:paraId="54DB01D6"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0E2468E" w14:textId="0889FE01"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3.基金银行账户的开立和管理应符合</w:t>
      </w:r>
      <w:r w:rsidR="00951B20" w:rsidRPr="000E68D0">
        <w:rPr>
          <w:rFonts w:ascii="仿宋_GB2312" w:eastAsia="仿宋_GB2312" w:hAnsi="宋体" w:cs="Arial" w:hint="eastAsia"/>
          <w:sz w:val="24"/>
        </w:rPr>
        <w:t>法律法规和</w:t>
      </w:r>
      <w:r w:rsidRPr="000E68D0">
        <w:rPr>
          <w:rFonts w:ascii="仿宋_GB2312" w:eastAsia="仿宋_GB2312" w:hAnsi="宋体" w:cs="Arial" w:hint="eastAsia"/>
          <w:sz w:val="24"/>
        </w:rPr>
        <w:t>银行业监督管理机构的有关规定。</w:t>
      </w:r>
    </w:p>
    <w:p w14:paraId="33B9B14B"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4.在符合法律法规规定的条件下，基金托管人可以通过基金托管人专用账户办理基金资产的支付。</w:t>
      </w:r>
    </w:p>
    <w:p w14:paraId="75D35FE3"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5.管理人应于托管产品到期后及时完成收益兑付、费用结清及其他应收应付款项资金划转，在确保后续无款项进出的10个工作日内向托管人发出销户申请。</w:t>
      </w:r>
    </w:p>
    <w:p w14:paraId="491278E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（四）基金证券账户和结算备付金账户的开立和管理</w:t>
      </w:r>
    </w:p>
    <w:p w14:paraId="64B5366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1.基金托管人在中国证券登记结算有限责任公司为基金开立基金托管人与基金联名的证券账户。</w:t>
      </w:r>
    </w:p>
    <w:p w14:paraId="16F5946B" w14:textId="36B7272E"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2.基金证券账户的开立和使用，仅限于满足开展本基金业务的需要。基金托管人和基金管理人不得出借或未经对方</w:t>
      </w:r>
      <w:r w:rsidR="003C55D6" w:rsidRPr="000E68D0">
        <w:rPr>
          <w:rFonts w:ascii="仿宋_GB2312" w:eastAsia="仿宋_GB2312" w:hAnsi="宋体" w:cs="Arial" w:hint="eastAsia"/>
          <w:sz w:val="24"/>
        </w:rPr>
        <w:t>书面</w:t>
      </w:r>
      <w:r w:rsidRPr="000E68D0">
        <w:rPr>
          <w:rFonts w:ascii="仿宋_GB2312" w:eastAsia="仿宋_GB2312" w:hAnsi="宋体" w:cs="Arial" w:hint="eastAsia"/>
          <w:sz w:val="24"/>
        </w:rPr>
        <w:t>同意擅自转让基金的任何证券账户，亦不得使用基金的任何账户进行本基金业务以外的活动。</w:t>
      </w:r>
    </w:p>
    <w:p w14:paraId="664B95C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3.基金证券账户的开立和证券账户卡的保管由基金托管人负责，账户资产的管理和运用由基金管理人负责。</w:t>
      </w:r>
    </w:p>
    <w:p w14:paraId="7CBDC303" w14:textId="389A91A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证券账户开户费由基金管理人先行垫付</w:t>
      </w:r>
      <w:r w:rsidR="003C55D6" w:rsidRPr="000E68D0">
        <w:rPr>
          <w:rFonts w:ascii="仿宋_GB2312" w:eastAsia="仿宋_GB2312" w:hAnsi="宋体" w:cs="Arial" w:hint="eastAsia"/>
          <w:sz w:val="24"/>
        </w:rPr>
        <w:t>，</w:t>
      </w:r>
      <w:r w:rsidRPr="000E68D0">
        <w:rPr>
          <w:rFonts w:ascii="仿宋_GB2312" w:eastAsia="仿宋_GB2312" w:hAnsi="宋体" w:cs="Arial" w:hint="eastAsia"/>
          <w:sz w:val="24"/>
        </w:rPr>
        <w:t>待托管产品</w:t>
      </w:r>
      <w:r w:rsidR="00386B34" w:rsidRPr="000E68D0">
        <w:rPr>
          <w:rFonts w:ascii="仿宋_GB2312" w:eastAsia="仿宋_GB2312" w:hAnsi="宋体" w:cs="Arial" w:hint="eastAsia"/>
          <w:sz w:val="24"/>
        </w:rPr>
        <w:t>开</w:t>
      </w:r>
      <w:r w:rsidRPr="000E68D0">
        <w:rPr>
          <w:rFonts w:ascii="仿宋_GB2312" w:eastAsia="仿宋_GB2312" w:hAnsi="宋体" w:cs="Arial" w:hint="eastAsia"/>
          <w:sz w:val="24"/>
        </w:rPr>
        <w:t>始运营后</w:t>
      </w:r>
      <w:r w:rsidR="003C55D6" w:rsidRPr="000E68D0">
        <w:rPr>
          <w:rFonts w:ascii="仿宋_GB2312" w:eastAsia="仿宋_GB2312" w:hAnsi="宋体" w:cs="Arial" w:hint="eastAsia"/>
          <w:sz w:val="24"/>
        </w:rPr>
        <w:t>，</w:t>
      </w:r>
      <w:r w:rsidRPr="000E68D0">
        <w:rPr>
          <w:rFonts w:ascii="仿宋_GB2312" w:eastAsia="仿宋_GB2312" w:hAnsi="宋体" w:cs="Arial" w:hint="eastAsia"/>
          <w:sz w:val="24"/>
        </w:rPr>
        <w:t>基金管理人可向基金托管人发送划款指令</w:t>
      </w:r>
      <w:r w:rsidR="003C55D6" w:rsidRPr="000E68D0">
        <w:rPr>
          <w:rFonts w:ascii="仿宋_GB2312" w:eastAsia="仿宋_GB2312" w:hAnsi="宋体" w:cs="Arial" w:hint="eastAsia"/>
          <w:sz w:val="24"/>
        </w:rPr>
        <w:t>，</w:t>
      </w:r>
      <w:r w:rsidRPr="000E68D0">
        <w:rPr>
          <w:rFonts w:ascii="仿宋_GB2312" w:eastAsia="仿宋_GB2312" w:hAnsi="宋体" w:cs="Arial" w:hint="eastAsia"/>
          <w:sz w:val="24"/>
        </w:rPr>
        <w:t>将代垫开户费从本基金托管资金账户中扣还基金管理人。</w:t>
      </w:r>
    </w:p>
    <w:p w14:paraId="16EF547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E68D0">
        <w:rPr>
          <w:rFonts w:ascii="仿宋_GB2312" w:eastAsia="仿宋_GB2312" w:hAnsi="宋体" w:cs="Arial" w:hint="eastAsia"/>
          <w:sz w:val="24"/>
        </w:rPr>
        <w:t>收资金</w:t>
      </w:r>
      <w:proofErr w:type="gramEnd"/>
      <w:r w:rsidRPr="000E68D0">
        <w:rPr>
          <w:rFonts w:ascii="仿宋_GB2312" w:eastAsia="仿宋_GB2312" w:hAnsi="宋体" w:cs="Arial" w:hint="eastAsia"/>
          <w:sz w:val="24"/>
        </w:rPr>
        <w:t>等的收取按照中国证券登记结算有限责任公司的规定以及基金管理人与基金托管人签署的《托管银行证券资金结算协议》执行。</w:t>
      </w:r>
    </w:p>
    <w:p w14:paraId="7688DF6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5.账户注销时，由基金管理人依据中国证券登记结算有限责任公司相关规定，委托有交易关系的证券公司负责办理。销户完成后，基金管理人需将相关证明提供</w:t>
      </w:r>
      <w:r w:rsidRPr="000E68D0">
        <w:rPr>
          <w:rFonts w:ascii="仿宋_GB2312" w:eastAsia="仿宋_GB2312" w:hAnsi="宋体" w:cs="Arial" w:hint="eastAsia"/>
          <w:sz w:val="24"/>
        </w:rPr>
        <w:lastRenderedPageBreak/>
        <w:t>至基金托管人。账户注销期间如</w:t>
      </w:r>
      <w:proofErr w:type="gramStart"/>
      <w:r w:rsidRPr="000E68D0">
        <w:rPr>
          <w:rFonts w:ascii="仿宋_GB2312" w:eastAsia="仿宋_GB2312" w:hAnsi="宋体" w:cs="Arial" w:hint="eastAsia"/>
          <w:sz w:val="24"/>
        </w:rPr>
        <w:t>需基金</w:t>
      </w:r>
      <w:proofErr w:type="gramEnd"/>
      <w:r w:rsidRPr="000E68D0">
        <w:rPr>
          <w:rFonts w:ascii="仿宋_GB2312" w:eastAsia="仿宋_GB2312" w:hAnsi="宋体" w:cs="Arial" w:hint="eastAsia"/>
          <w:sz w:val="24"/>
        </w:rPr>
        <w:t>托管人提供配合的，基金托管人应予以配合。</w:t>
      </w:r>
    </w:p>
    <w:p w14:paraId="7BEF61C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6.若中国证监会或其他监管机构在本托管协议订立日之后允许基金从事其他投资品种的投资业务，涉及相关账户的开立、使用的，若无相关规定，</w:t>
      </w:r>
      <w:proofErr w:type="gramStart"/>
      <w:r w:rsidRPr="000E68D0">
        <w:rPr>
          <w:rFonts w:ascii="仿宋_GB2312" w:eastAsia="仿宋_GB2312" w:hAnsi="宋体" w:cs="Arial" w:hint="eastAsia"/>
          <w:sz w:val="24"/>
        </w:rPr>
        <w:t>则基金</w:t>
      </w:r>
      <w:proofErr w:type="gramEnd"/>
      <w:r w:rsidRPr="000E68D0">
        <w:rPr>
          <w:rFonts w:ascii="仿宋_GB2312" w:eastAsia="仿宋_GB2312" w:hAnsi="宋体" w:cs="Arial" w:hint="eastAsia"/>
          <w:sz w:val="24"/>
        </w:rPr>
        <w:t>托管人比照上述关于账户开立、使用的规定执行。</w:t>
      </w:r>
    </w:p>
    <w:p w14:paraId="29864CA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（五）债券托管</w:t>
      </w:r>
      <w:r w:rsidR="00386B34" w:rsidRPr="000E68D0">
        <w:rPr>
          <w:rFonts w:ascii="仿宋_GB2312" w:eastAsia="仿宋_GB2312" w:hAnsi="宋体" w:cs="Arial" w:hint="eastAsia"/>
          <w:sz w:val="24"/>
        </w:rPr>
        <w:t>账</w:t>
      </w:r>
      <w:r w:rsidRPr="000E68D0">
        <w:rPr>
          <w:rFonts w:ascii="仿宋_GB2312" w:eastAsia="仿宋_GB2312" w:hAnsi="宋体" w:cs="Arial" w:hint="eastAsia"/>
          <w:sz w:val="24"/>
        </w:rPr>
        <w:t>户的开设和管理</w:t>
      </w:r>
    </w:p>
    <w:p w14:paraId="20389D2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6F0E6B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（六）其他账户的开立和管理</w:t>
      </w:r>
    </w:p>
    <w:p w14:paraId="52D09BC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7F5073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2.法律法规等有关规定对相关账户的开立和管理另有规定的，从其规定办理。</w:t>
      </w:r>
    </w:p>
    <w:p w14:paraId="7E21E433"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（七）基金财产投资的有关有价凭证等的保管</w:t>
      </w:r>
    </w:p>
    <w:p w14:paraId="753C6CF7" w14:textId="7C8FA343" w:rsidR="00505116" w:rsidRPr="000E68D0" w:rsidRDefault="00690C57">
      <w:pPr>
        <w:adjustRightInd w:val="0"/>
        <w:snapToGrid w:val="0"/>
        <w:spacing w:before="240" w:after="240" w:line="276" w:lineRule="auto"/>
        <w:ind w:firstLineChars="200" w:firstLine="480"/>
        <w:rPr>
          <w:rFonts w:ascii="仿宋_GB2312" w:eastAsia="仿宋_GB2312" w:hAnsi="宋体" w:cs="Arial"/>
        </w:rPr>
      </w:pPr>
      <w:r w:rsidRPr="000E68D0">
        <w:rPr>
          <w:rFonts w:ascii="仿宋_GB2312" w:eastAsia="仿宋_GB2312" w:hAnsi="宋体" w:cs="Arial" w:hint="eastAsia"/>
          <w:sz w:val="24"/>
        </w:rPr>
        <w:t>基金财产投资的有关实物证券、银行</w:t>
      </w:r>
      <w:r w:rsidRPr="000E68D0">
        <w:rPr>
          <w:rFonts w:ascii="仿宋_GB2312" w:eastAsia="仿宋_GB2312" w:hint="eastAsia"/>
          <w:sz w:val="24"/>
        </w:rPr>
        <w:t>存款开户证实书</w:t>
      </w:r>
      <w:r w:rsidRPr="000E68D0">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A2D241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（八）与基金财产有关的重大合同的保管</w:t>
      </w:r>
    </w:p>
    <w:p w14:paraId="20CD35A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A30850" w:rsidRPr="000E68D0">
        <w:rPr>
          <w:rFonts w:ascii="仿宋_GB2312" w:eastAsia="仿宋_GB2312" w:hAnsi="宋体" w:cs="Arial" w:hint="eastAsia"/>
          <w:sz w:val="24"/>
        </w:rPr>
        <w:t>不低于法律法</w:t>
      </w:r>
      <w:r w:rsidR="00A30850" w:rsidRPr="000E68D0">
        <w:rPr>
          <w:rFonts w:ascii="仿宋_GB2312" w:eastAsia="仿宋_GB2312" w:hAnsi="宋体" w:cs="Arial" w:hint="eastAsia"/>
          <w:sz w:val="24"/>
        </w:rPr>
        <w:lastRenderedPageBreak/>
        <w:t>规规定的最低年限</w:t>
      </w:r>
      <w:r w:rsidRPr="000E68D0">
        <w:rPr>
          <w:rFonts w:ascii="仿宋_GB2312" w:eastAsia="仿宋_GB2312" w:hAnsi="宋体" w:cs="Arial" w:hint="eastAsia"/>
          <w:sz w:val="24"/>
        </w:rPr>
        <w:t>。</w:t>
      </w:r>
    </w:p>
    <w:p w14:paraId="7B91331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对于无法取得二份以上的正本的，基金管理人应向基金托管人提供加盖公章的合同复印件或传真件，未经双方协商一致，合同原件不得转移。</w:t>
      </w:r>
    </w:p>
    <w:p w14:paraId="0C6111BC" w14:textId="77777777" w:rsidR="00505116" w:rsidRPr="000E68D0" w:rsidRDefault="00505116">
      <w:pPr>
        <w:spacing w:before="240" w:after="240" w:line="276" w:lineRule="auto"/>
        <w:rPr>
          <w:rFonts w:ascii="仿宋_GB2312" w:eastAsia="仿宋_GB2312"/>
          <w:sz w:val="24"/>
        </w:rPr>
      </w:pPr>
    </w:p>
    <w:p w14:paraId="02F204D6" w14:textId="77777777" w:rsidR="00505116" w:rsidRPr="000E68D0" w:rsidRDefault="00690C57">
      <w:pPr>
        <w:pStyle w:val="2"/>
        <w:spacing w:before="240" w:after="240" w:line="276" w:lineRule="auto"/>
        <w:jc w:val="center"/>
        <w:rPr>
          <w:rFonts w:ascii="仿宋_GB2312" w:eastAsia="仿宋_GB2312"/>
          <w:sz w:val="30"/>
        </w:rPr>
      </w:pPr>
      <w:bookmarkStart w:id="44" w:name="_Toc84234436"/>
      <w:bookmarkStart w:id="45" w:name="_Toc86223244"/>
      <w:bookmarkStart w:id="46" w:name="_Toc84234389"/>
      <w:bookmarkStart w:id="47" w:name="_Toc86204790"/>
      <w:bookmarkStart w:id="48" w:name="_Toc84133787"/>
      <w:bookmarkStart w:id="49" w:name="_Toc86649724"/>
      <w:bookmarkStart w:id="50" w:name="_Toc86726441"/>
      <w:bookmarkStart w:id="51" w:name="_Toc86727357"/>
      <w:bookmarkStart w:id="52" w:name="_Toc86225293"/>
      <w:bookmarkStart w:id="53" w:name="_Toc86737931"/>
      <w:bookmarkStart w:id="54" w:name="_Toc89163370"/>
      <w:bookmarkStart w:id="55" w:name="_Toc108512360"/>
      <w:bookmarkStart w:id="56" w:name="_Toc110761798"/>
      <w:bookmarkStart w:id="57" w:name="_Toc110765662"/>
      <w:bookmarkStart w:id="58" w:name="_Toc119402712"/>
      <w:bookmarkStart w:id="59" w:name="_Toc118774805"/>
      <w:bookmarkStart w:id="60" w:name="_Toc118972650"/>
      <w:bookmarkStart w:id="61" w:name="_Toc118212952"/>
      <w:bookmarkStart w:id="62" w:name="_Toc110830494"/>
      <w:bookmarkStart w:id="63" w:name="_Toc120435785"/>
      <w:bookmarkStart w:id="64" w:name="_Toc151104994"/>
      <w:r w:rsidRPr="000E68D0">
        <w:rPr>
          <w:rFonts w:ascii="仿宋_GB2312" w:eastAsia="仿宋_GB2312"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9B02750"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14:paraId="15E0E9EE"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（一）基金管理人对发送指令人员的书面授权</w:t>
      </w:r>
    </w:p>
    <w:p w14:paraId="707B0CF9"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1.基金管理人应指定专人向基金托管人发送指令。</w:t>
      </w:r>
    </w:p>
    <w:p w14:paraId="3BADB18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14:paraId="118078A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386B34" w:rsidRPr="000E68D0">
        <w:rPr>
          <w:rFonts w:ascii="仿宋_GB2312" w:eastAsia="仿宋_GB2312" w:hAnsi="宋体" w:cs="Arial" w:hint="eastAsia"/>
          <w:sz w:val="24"/>
        </w:rPr>
        <w:t>前述时间</w:t>
      </w:r>
      <w:r w:rsidRPr="000E68D0">
        <w:rPr>
          <w:rFonts w:ascii="仿宋_GB2312" w:eastAsia="仿宋_GB2312" w:hAnsi="宋体" w:cs="Arial" w:hint="eastAsia"/>
          <w:sz w:val="24"/>
        </w:rPr>
        <w:t>，则以基金托管人收到授权文件并经电话确认的时点为授权文件的生效时间。</w:t>
      </w:r>
    </w:p>
    <w:p w14:paraId="08A1C576"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14:paraId="4121001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（二）指令的内容</w:t>
      </w:r>
    </w:p>
    <w:p w14:paraId="2A0CF2A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1.指令包括付款指令以及其他资金划拨指令等。</w:t>
      </w:r>
    </w:p>
    <w:p w14:paraId="4DC5E661"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2.基金管理人发给基金托管人的指令应写明款项事由、支付时间、到账时间、金额、账户等，加盖预留印鉴并由被授权人签字。</w:t>
      </w:r>
    </w:p>
    <w:p w14:paraId="3C23FEC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（三）指令的发送、确认及执行的时间和程序</w:t>
      </w:r>
    </w:p>
    <w:p w14:paraId="4BF2664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1.指令的发送</w:t>
      </w:r>
    </w:p>
    <w:p w14:paraId="2D4A4B9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基金管理人发送指令应采用加密传真方式或双方协商一致的其他方式。</w:t>
      </w:r>
    </w:p>
    <w:p w14:paraId="1641E61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w:t>
      </w:r>
      <w:r w:rsidRPr="000E68D0">
        <w:rPr>
          <w:rFonts w:ascii="仿宋_GB2312" w:eastAsia="仿宋_GB2312" w:hAnsi="宋体" w:cs="Arial" w:hint="eastAsia"/>
          <w:sz w:val="24"/>
        </w:rPr>
        <w:lastRenderedPageBreak/>
        <w:t>改对被授权人的授权，并且基金托管人根据本协议确认后，则对于此后该被授权人无权发送的指令，或超权限发送的指令，基金管理人不承担责任，授权已更改但未经基金托管人确认的情况除外。</w:t>
      </w:r>
    </w:p>
    <w:p w14:paraId="7925208D"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指令发出后，基金管理人应及时以电话方式向基金托管人确认。</w:t>
      </w:r>
    </w:p>
    <w:p w14:paraId="205EA867" w14:textId="73201E2B"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hint="eastAsia"/>
          <w:sz w:val="24"/>
        </w:rPr>
        <w:t>基金管理人应在银行间交易成交后，及时将通知单、相关文件及划款指令加盖</w:t>
      </w:r>
      <w:r w:rsidR="003C55D6" w:rsidRPr="000E68D0">
        <w:rPr>
          <w:rFonts w:ascii="仿宋_GB2312" w:eastAsia="仿宋_GB2312" w:hAnsi="宋体" w:hint="eastAsia"/>
          <w:sz w:val="24"/>
        </w:rPr>
        <w:t>预留印鉴</w:t>
      </w:r>
      <w:r w:rsidRPr="000E68D0">
        <w:rPr>
          <w:rFonts w:ascii="仿宋_GB2312" w:eastAsia="仿宋_GB2312"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6A6F2F89"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2.指令的确认</w:t>
      </w:r>
    </w:p>
    <w:p w14:paraId="467F9CD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8B0F0E6"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3.指令的时间和执行</w:t>
      </w:r>
    </w:p>
    <w:p w14:paraId="271666A5" w14:textId="32325B6C" w:rsidR="00505116" w:rsidRPr="000E68D0" w:rsidRDefault="00690C57">
      <w:pPr>
        <w:pStyle w:val="a8"/>
        <w:spacing w:before="240" w:after="240" w:line="276" w:lineRule="auto"/>
        <w:ind w:firstLineChars="0"/>
        <w:rPr>
          <w:rFonts w:ascii="仿宋_GB2312" w:eastAsia="仿宋_GB2312" w:hAnsi="宋体" w:cs="Arial"/>
          <w:szCs w:val="24"/>
          <w:shd w:val="pct10" w:color="auto" w:fill="FFFFFF"/>
        </w:rPr>
      </w:pPr>
      <w:r w:rsidRPr="000E68D0">
        <w:rPr>
          <w:rFonts w:ascii="仿宋_GB2312" w:eastAsia="仿宋_GB2312"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0E68D0">
        <w:rPr>
          <w:rFonts w:ascii="仿宋_GB2312" w:eastAsia="仿宋_GB2312" w:hAnsi="宋体" w:cs="Arial" w:hint="eastAsia"/>
        </w:rPr>
        <w:t>并相关</w:t>
      </w:r>
      <w:proofErr w:type="gramEnd"/>
      <w:r w:rsidRPr="000E68D0">
        <w:rPr>
          <w:rFonts w:ascii="仿宋_GB2312" w:eastAsia="仿宋_GB2312"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E68D0">
        <w:rPr>
          <w:rFonts w:ascii="仿宋_GB2312" w:eastAsia="仿宋_GB2312" w:hAnsi="宋体" w:cs="Arial" w:hint="eastAsia"/>
          <w:szCs w:val="24"/>
        </w:rPr>
        <w:t>对于中国证券登记结算有限责任公司实行T+0非担保交收的业务，基金管理人应在交易日14：00</w:t>
      </w:r>
      <w:r w:rsidRPr="000E68D0">
        <w:rPr>
          <w:rFonts w:ascii="仿宋_GB2312" w:eastAsia="仿宋_GB2312" w:hAnsi="宋体" w:cs="Arial" w:hint="eastAsia"/>
        </w:rPr>
        <w:t>前</w:t>
      </w:r>
      <w:r w:rsidRPr="000E68D0">
        <w:rPr>
          <w:rFonts w:ascii="仿宋_GB2312" w:eastAsia="仿宋_GB2312" w:hAnsi="宋体" w:cs="Arial" w:hint="eastAsia"/>
          <w:szCs w:val="24"/>
        </w:rPr>
        <w:t>将划款指令发送至托管人。因基金管理人指令发送不及时，致使资金未能及时划入</w:t>
      </w:r>
      <w:r w:rsidR="00386B34" w:rsidRPr="000E68D0">
        <w:rPr>
          <w:rFonts w:ascii="仿宋_GB2312" w:eastAsia="仿宋_GB2312" w:hAnsi="宋体" w:cs="Arial" w:hint="eastAsia"/>
          <w:szCs w:val="24"/>
        </w:rPr>
        <w:t>中国证券登记结算有限责任</w:t>
      </w:r>
      <w:r w:rsidRPr="000E68D0">
        <w:rPr>
          <w:rFonts w:ascii="仿宋_GB2312" w:eastAsia="仿宋_GB2312" w:hAnsi="宋体" w:cs="Arial" w:hint="eastAsia"/>
          <w:szCs w:val="24"/>
        </w:rPr>
        <w:t>公司所造成的损失由基金管理人承担，包括赔偿在该市场引起其他托管客户交易失败、赔偿因占用</w:t>
      </w:r>
      <w:r w:rsidRPr="000E68D0">
        <w:rPr>
          <w:rFonts w:ascii="仿宋_GB2312" w:eastAsia="仿宋_GB2312" w:hAnsi="宋体" w:cs="Arial" w:hint="eastAsia"/>
        </w:rPr>
        <w:t>结算参与人</w:t>
      </w:r>
      <w:r w:rsidRPr="000E68D0">
        <w:rPr>
          <w:rFonts w:ascii="仿宋_GB2312" w:eastAsia="仿宋_GB2312" w:hAnsi="宋体" w:cs="Arial" w:hint="eastAsia"/>
          <w:szCs w:val="24"/>
        </w:rPr>
        <w:t>最低备付金带来的利息损失</w:t>
      </w:r>
      <w:r w:rsidRPr="000E68D0">
        <w:rPr>
          <w:rFonts w:ascii="仿宋_GB2312" w:eastAsia="仿宋_GB2312" w:hAnsi="宋体" w:cs="Arial" w:hint="eastAsia"/>
        </w:rPr>
        <w:t>。</w:t>
      </w:r>
      <w:r w:rsidRPr="000E68D0">
        <w:rPr>
          <w:rFonts w:ascii="仿宋_GB2312" w:eastAsia="仿宋_GB2312" w:hAnsi="宋体" w:cs="Arial" w:hint="eastAsia"/>
          <w:szCs w:val="24"/>
        </w:rPr>
        <w:t>若沪深市场T+0 非担保交收规则调整，则此条款内容相应调整。基金管理人应确保基金托管人在执行指令时，基金资金账户有足够的资金余额，</w:t>
      </w:r>
      <w:r w:rsidRPr="000E68D0">
        <w:rPr>
          <w:rFonts w:ascii="仿宋_GB2312" w:eastAsia="仿宋_GB2312" w:hAnsi="宋体" w:cs="Arial" w:hint="eastAsia"/>
        </w:rPr>
        <w:t>在基金资金头寸充足的情况下，基金托管人对基金管理人符合法律法规、《基金合同》、本协议的指令不得拖延或拒绝执行。</w:t>
      </w:r>
    </w:p>
    <w:p w14:paraId="216C9F89" w14:textId="77777777" w:rsidR="00505116" w:rsidRPr="000E68D0" w:rsidRDefault="00690C57">
      <w:pPr>
        <w:pStyle w:val="a8"/>
        <w:spacing w:before="240" w:after="240" w:line="276" w:lineRule="auto"/>
        <w:ind w:firstLineChars="0"/>
        <w:rPr>
          <w:rFonts w:ascii="仿宋_GB2312" w:eastAsia="仿宋_GB2312" w:hAnsi="宋体" w:cs="Arial"/>
        </w:rPr>
      </w:pPr>
      <w:r w:rsidRPr="000E68D0">
        <w:rPr>
          <w:rFonts w:ascii="仿宋_GB2312" w:eastAsia="仿宋_GB2312" w:hAnsi="宋体" w:cs="Arial" w:hint="eastAsia"/>
        </w:rPr>
        <w:t>（四）基金管理人发送错误指令的情形和处理程序</w:t>
      </w:r>
    </w:p>
    <w:p w14:paraId="5F310B3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基金管理人发送错误指令的情形包括指令违反法律法规和《基金合同》，指令发送人员无权或超越权限发送指令。</w:t>
      </w:r>
    </w:p>
    <w:p w14:paraId="7787D22F" w14:textId="1F7320D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基金托管人在履行监督职能时，发现基金管理人的指令错误时，</w:t>
      </w:r>
      <w:r w:rsidR="004A2371" w:rsidRPr="000E68D0">
        <w:rPr>
          <w:rFonts w:ascii="仿宋_GB2312" w:eastAsia="仿宋_GB2312" w:hAnsi="宋体" w:cs="Arial" w:hint="eastAsia"/>
          <w:sz w:val="24"/>
        </w:rPr>
        <w:t>应</w:t>
      </w:r>
      <w:r w:rsidRPr="000E68D0">
        <w:rPr>
          <w:rFonts w:ascii="仿宋_GB2312" w:eastAsia="仿宋_GB2312" w:hAnsi="宋体" w:cs="Arial" w:hint="eastAsia"/>
          <w:sz w:val="24"/>
        </w:rPr>
        <w:t>拒绝执行，</w:t>
      </w:r>
      <w:r w:rsidRPr="000E68D0">
        <w:rPr>
          <w:rFonts w:ascii="仿宋_GB2312" w:eastAsia="仿宋_GB2312" w:hAnsi="宋体" w:cs="Arial" w:hint="eastAsia"/>
          <w:sz w:val="24"/>
        </w:rPr>
        <w:lastRenderedPageBreak/>
        <w:t>并及时通知基金管理人改正。如需撤销指令，基金管理人应出具书面说明，并加盖业务用章。</w:t>
      </w:r>
    </w:p>
    <w:p w14:paraId="30973E6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（五）基金托管人依照法律法规暂缓、拒绝执行指令的情形和处理程序</w:t>
      </w:r>
    </w:p>
    <w:p w14:paraId="35429E0F"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proofErr w:type="gramStart"/>
      <w:r w:rsidRPr="000E68D0">
        <w:rPr>
          <w:rFonts w:ascii="仿宋_GB2312" w:eastAsia="仿宋_GB2312" w:hAnsi="宋体" w:cs="Arial" w:hint="eastAsia"/>
          <w:sz w:val="24"/>
        </w:rPr>
        <w:t>若基金</w:t>
      </w:r>
      <w:proofErr w:type="gramEnd"/>
      <w:r w:rsidRPr="000E68D0">
        <w:rPr>
          <w:rFonts w:ascii="仿宋_GB2312" w:eastAsia="仿宋_GB2312" w:hAnsi="宋体" w:cs="Arial" w:hint="eastAsia"/>
          <w:sz w:val="24"/>
        </w:rPr>
        <w:t>托管人发现基金管理人的指令违反法律法规，或者违反《基金合同》约定的，应当</w:t>
      </w:r>
      <w:r w:rsidR="00D7074A" w:rsidRPr="000E68D0">
        <w:rPr>
          <w:rFonts w:ascii="仿宋_GB2312" w:eastAsia="仿宋_GB2312" w:hAnsi="宋体" w:cs="Arial" w:hint="eastAsia"/>
          <w:sz w:val="24"/>
        </w:rPr>
        <w:t>视情况暂缓执行或</w:t>
      </w:r>
      <w:r w:rsidRPr="000E68D0">
        <w:rPr>
          <w:rFonts w:ascii="仿宋_GB2312" w:eastAsia="仿宋_GB2312" w:hAnsi="宋体" w:cs="Arial" w:hint="eastAsia"/>
          <w:sz w:val="24"/>
        </w:rPr>
        <w:t>拒绝执行，</w:t>
      </w:r>
      <w:r w:rsidR="00D7074A" w:rsidRPr="000E68D0">
        <w:rPr>
          <w:rFonts w:ascii="仿宋_GB2312" w:eastAsia="仿宋_GB2312" w:hAnsi="宋体" w:cs="Arial" w:hint="eastAsia"/>
          <w:sz w:val="24"/>
        </w:rPr>
        <w:t>并</w:t>
      </w:r>
      <w:r w:rsidRPr="000E68D0">
        <w:rPr>
          <w:rFonts w:ascii="仿宋_GB2312" w:eastAsia="仿宋_GB2312" w:hAnsi="宋体" w:cs="Arial" w:hint="eastAsia"/>
          <w:sz w:val="24"/>
        </w:rPr>
        <w:t>立即通知基金管理人。</w:t>
      </w:r>
    </w:p>
    <w:p w14:paraId="57B683B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（六）基金托管人未按照基金管理人指令执行的处理方法</w:t>
      </w:r>
    </w:p>
    <w:p w14:paraId="0FE7A3ED" w14:textId="50EA0531"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基金托管人由于</w:t>
      </w:r>
      <w:r w:rsidR="003C55D6" w:rsidRPr="000E68D0">
        <w:rPr>
          <w:rFonts w:ascii="仿宋_GB2312" w:eastAsia="仿宋_GB2312" w:hAnsi="宋体" w:cs="Arial" w:hint="eastAsia"/>
          <w:sz w:val="24"/>
        </w:rPr>
        <w:t>自身原因</w:t>
      </w:r>
      <w:r w:rsidRPr="000E68D0">
        <w:rPr>
          <w:rFonts w:ascii="仿宋_GB2312" w:eastAsia="仿宋_GB2312" w:hAnsi="宋体" w:cs="Arial" w:hint="eastAsia"/>
          <w:sz w:val="24"/>
        </w:rPr>
        <w:t>，未按照基金管理人发送的指令执行并对基金财产或投资人造成的直接损失，由基金托管人</w:t>
      </w:r>
      <w:r w:rsidRPr="000E68D0">
        <w:rPr>
          <w:rFonts w:ascii="仿宋_GB2312" w:eastAsia="仿宋_GB2312" w:hint="eastAsia"/>
          <w:sz w:val="24"/>
        </w:rPr>
        <w:t>赔偿由此造成的直接损失。</w:t>
      </w:r>
    </w:p>
    <w:p w14:paraId="44888786"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（七）更换被授权人员的程序</w:t>
      </w:r>
    </w:p>
    <w:p w14:paraId="44C40402" w14:textId="641AB453"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基金管理人更换被授权人、更改或终止对被授权人的授权，应立即将新的授权文件以传真</w:t>
      </w:r>
      <w:r w:rsidR="001F3A04" w:rsidRPr="000E68D0">
        <w:rPr>
          <w:rFonts w:ascii="仿宋_GB2312" w:eastAsia="仿宋_GB2312" w:hAnsi="宋体" w:cs="Arial" w:hint="eastAsia"/>
          <w:sz w:val="24"/>
        </w:rPr>
        <w:t>或邮件</w:t>
      </w:r>
      <w:r w:rsidRPr="000E68D0">
        <w:rPr>
          <w:rFonts w:ascii="仿宋_GB2312" w:eastAsia="仿宋_GB2312" w:hAnsi="宋体" w:cs="Arial" w:hint="eastAsia"/>
          <w:sz w:val="24"/>
        </w:rPr>
        <w:t>方式通知基金托管人，并经电话确认后生效，原授权文件同时废止。新的授权文件在传真</w:t>
      </w:r>
      <w:r w:rsidR="001F3A04" w:rsidRPr="000E68D0">
        <w:rPr>
          <w:rFonts w:ascii="仿宋_GB2312" w:eastAsia="仿宋_GB2312" w:hAnsi="宋体" w:cs="Arial" w:hint="eastAsia"/>
          <w:sz w:val="24"/>
        </w:rPr>
        <w:t>或邮件</w:t>
      </w:r>
      <w:r w:rsidRPr="000E68D0">
        <w:rPr>
          <w:rFonts w:ascii="仿宋_GB2312" w:eastAsia="仿宋_GB2312" w:hAnsi="宋体" w:cs="Arial" w:hint="eastAsia"/>
          <w:sz w:val="24"/>
        </w:rPr>
        <w:t>发出后七个工作日内送达文件正本。新的授权文件生效之后，正本送达之前，基金托管人按照新的授权文件传真件</w:t>
      </w:r>
      <w:r w:rsidR="001F3A04" w:rsidRPr="000E68D0">
        <w:rPr>
          <w:rFonts w:ascii="仿宋_GB2312" w:eastAsia="仿宋_GB2312" w:hAnsi="宋体" w:cs="Arial" w:hint="eastAsia"/>
          <w:sz w:val="24"/>
        </w:rPr>
        <w:t>或邮件</w:t>
      </w:r>
      <w:r w:rsidRPr="000E68D0">
        <w:rPr>
          <w:rFonts w:ascii="仿宋_GB2312" w:eastAsia="仿宋_GB2312" w:hAnsi="宋体" w:cs="Arial" w:hint="eastAsia"/>
          <w:sz w:val="24"/>
        </w:rPr>
        <w:t>内容执行有关业务，如果新的授权文件正本与传真件</w:t>
      </w:r>
      <w:r w:rsidR="001F3A04" w:rsidRPr="000E68D0">
        <w:rPr>
          <w:rFonts w:ascii="仿宋_GB2312" w:eastAsia="仿宋_GB2312" w:hAnsi="宋体" w:cs="Arial" w:hint="eastAsia"/>
          <w:sz w:val="24"/>
        </w:rPr>
        <w:t>或邮件</w:t>
      </w:r>
      <w:r w:rsidRPr="000E68D0">
        <w:rPr>
          <w:rFonts w:ascii="仿宋_GB2312" w:eastAsia="仿宋_GB2312" w:hAnsi="宋体" w:cs="Arial" w:hint="eastAsia"/>
          <w:sz w:val="24"/>
        </w:rPr>
        <w:t>内容不同，</w:t>
      </w:r>
      <w:r w:rsidR="008D3AA4" w:rsidRPr="000E68D0">
        <w:rPr>
          <w:rFonts w:ascii="仿宋_GB2312" w:eastAsia="仿宋_GB2312" w:hAnsi="宋体" w:cs="Arial" w:hint="eastAsia"/>
          <w:sz w:val="24"/>
        </w:rPr>
        <w:t>以基金托管人收到的授权文件传真</w:t>
      </w:r>
      <w:proofErr w:type="gramStart"/>
      <w:r w:rsidR="008D3AA4" w:rsidRPr="000E68D0">
        <w:rPr>
          <w:rFonts w:ascii="仿宋_GB2312" w:eastAsia="仿宋_GB2312" w:hAnsi="宋体" w:cs="Arial" w:hint="eastAsia"/>
          <w:sz w:val="24"/>
        </w:rPr>
        <w:t>件内容</w:t>
      </w:r>
      <w:proofErr w:type="gramEnd"/>
      <w:r w:rsidR="008D3AA4" w:rsidRPr="000E68D0">
        <w:rPr>
          <w:rFonts w:ascii="仿宋_GB2312" w:eastAsia="仿宋_GB2312" w:hAnsi="宋体" w:cs="Arial" w:hint="eastAsia"/>
          <w:sz w:val="24"/>
        </w:rPr>
        <w:t>为准</w:t>
      </w:r>
      <w:r w:rsidR="00F02ADD" w:rsidRPr="000E68D0">
        <w:rPr>
          <w:rFonts w:ascii="仿宋_GB2312" w:eastAsia="仿宋_GB2312" w:hAnsi="宋体" w:cs="Arial" w:hint="eastAsia"/>
          <w:sz w:val="24"/>
        </w:rPr>
        <w:t>，由此产生的责任由基金管理人承担。</w:t>
      </w:r>
      <w:r w:rsidRPr="000E68D0">
        <w:rPr>
          <w:rFonts w:ascii="仿宋_GB2312" w:eastAsia="仿宋_GB2312" w:hAnsi="宋体" w:cs="Arial" w:hint="eastAsia"/>
          <w:sz w:val="24"/>
        </w:rPr>
        <w:t>基金托管人更换接</w:t>
      </w:r>
      <w:r w:rsidR="003C55D6" w:rsidRPr="000E68D0">
        <w:rPr>
          <w:rFonts w:ascii="仿宋_GB2312" w:eastAsia="仿宋_GB2312" w:hAnsi="宋体" w:cs="Arial" w:hint="eastAsia"/>
          <w:sz w:val="24"/>
        </w:rPr>
        <w:t>收</w:t>
      </w:r>
      <w:r w:rsidRPr="000E68D0">
        <w:rPr>
          <w:rFonts w:ascii="仿宋_GB2312" w:eastAsia="仿宋_GB2312" w:hAnsi="宋体" w:cs="Arial" w:hint="eastAsia"/>
          <w:sz w:val="24"/>
        </w:rPr>
        <w:t>基金管理人指令的人员，应提前通过录音电话通知基金管理人。</w:t>
      </w:r>
    </w:p>
    <w:p w14:paraId="2EDAA2E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（八）其他事项</w:t>
      </w:r>
    </w:p>
    <w:p w14:paraId="14A78FFF" w14:textId="29501853"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w:t>
      </w:r>
      <w:r w:rsidR="00C97EDC" w:rsidRPr="000E68D0">
        <w:rPr>
          <w:rFonts w:ascii="仿宋_GB2312" w:eastAsia="仿宋_GB2312" w:hAnsi="宋体" w:cs="Arial" w:hint="eastAsia"/>
          <w:sz w:val="24"/>
        </w:rPr>
        <w:t>正确、及时</w:t>
      </w:r>
      <w:r w:rsidRPr="000E68D0">
        <w:rPr>
          <w:rFonts w:ascii="仿宋_GB2312" w:eastAsia="仿宋_GB2312" w:hAnsi="宋体" w:cs="Arial" w:hint="eastAsia"/>
          <w:sz w:val="24"/>
        </w:rPr>
        <w:t>执行基金管理人的合法指令对基金财产造成的损失不承担赔偿责任。</w:t>
      </w:r>
    </w:p>
    <w:p w14:paraId="7B4BDF9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8CD4EF1"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675A381C" w14:textId="77777777" w:rsidR="00505116" w:rsidRPr="000E68D0" w:rsidRDefault="00690C57">
      <w:pPr>
        <w:pStyle w:val="2"/>
        <w:spacing w:before="240" w:after="240" w:line="276" w:lineRule="auto"/>
        <w:jc w:val="center"/>
        <w:rPr>
          <w:rFonts w:ascii="仿宋_GB2312" w:eastAsia="仿宋_GB2312"/>
          <w:sz w:val="30"/>
        </w:rPr>
      </w:pPr>
      <w:bookmarkStart w:id="65" w:name="_Toc86204791"/>
      <w:bookmarkStart w:id="66" w:name="_Toc84133788"/>
      <w:bookmarkStart w:id="67" w:name="_Toc84234437"/>
      <w:bookmarkStart w:id="68" w:name="_Toc86223245"/>
      <w:bookmarkStart w:id="69" w:name="_Toc86225294"/>
      <w:bookmarkStart w:id="70" w:name="_Toc86649725"/>
      <w:bookmarkStart w:id="71" w:name="_Toc86726442"/>
      <w:bookmarkStart w:id="72" w:name="_Toc86727358"/>
      <w:bookmarkStart w:id="73" w:name="_Toc84234390"/>
      <w:bookmarkStart w:id="74" w:name="_Toc120435786"/>
      <w:bookmarkStart w:id="75" w:name="_Toc108512361"/>
      <w:bookmarkStart w:id="76" w:name="_Toc110761799"/>
      <w:bookmarkStart w:id="77" w:name="_Toc118774806"/>
      <w:bookmarkStart w:id="78" w:name="_Toc89163371"/>
      <w:bookmarkStart w:id="79" w:name="_Toc118212953"/>
      <w:bookmarkStart w:id="80" w:name="_Toc119402713"/>
      <w:bookmarkStart w:id="81" w:name="_Toc110830495"/>
      <w:bookmarkStart w:id="82" w:name="_Toc86737932"/>
      <w:bookmarkStart w:id="83" w:name="_Toc110765663"/>
      <w:bookmarkStart w:id="84" w:name="_Toc118972651"/>
      <w:bookmarkStart w:id="85" w:name="_Toc151104995"/>
      <w:r w:rsidRPr="000E68D0">
        <w:rPr>
          <w:rFonts w:ascii="仿宋_GB2312" w:eastAsia="仿宋_GB2312"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B276BBB"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（一）选择证券</w:t>
      </w:r>
      <w:r w:rsidR="00D7074A" w:rsidRPr="000E68D0">
        <w:rPr>
          <w:rFonts w:ascii="仿宋_GB2312" w:eastAsia="仿宋_GB2312" w:hAnsi="宋体" w:cs="Arial" w:hint="eastAsia"/>
          <w:sz w:val="24"/>
        </w:rPr>
        <w:t>、期货</w:t>
      </w:r>
      <w:r w:rsidRPr="000E68D0">
        <w:rPr>
          <w:rFonts w:ascii="仿宋_GB2312" w:eastAsia="仿宋_GB2312" w:hAnsi="宋体" w:cs="Arial" w:hint="eastAsia"/>
          <w:sz w:val="24"/>
        </w:rPr>
        <w:t>买卖的证券</w:t>
      </w:r>
      <w:r w:rsidR="00D7074A" w:rsidRPr="000E68D0">
        <w:rPr>
          <w:rFonts w:ascii="仿宋_GB2312" w:eastAsia="仿宋_GB2312" w:hAnsi="宋体" w:cs="Arial" w:hint="eastAsia"/>
          <w:sz w:val="24"/>
        </w:rPr>
        <w:t>、期货</w:t>
      </w:r>
      <w:r w:rsidRPr="000E68D0">
        <w:rPr>
          <w:rFonts w:ascii="仿宋_GB2312" w:eastAsia="仿宋_GB2312" w:hAnsi="宋体" w:cs="Arial" w:hint="eastAsia"/>
          <w:sz w:val="24"/>
        </w:rPr>
        <w:t>经营机构</w:t>
      </w:r>
    </w:p>
    <w:p w14:paraId="025CAB7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w:t>
      </w:r>
      <w:r w:rsidRPr="000E68D0">
        <w:rPr>
          <w:rFonts w:ascii="仿宋_GB2312" w:eastAsia="仿宋_GB2312" w:hAnsi="宋体" w:cs="Arial" w:hint="eastAsia"/>
          <w:sz w:val="24"/>
        </w:rPr>
        <w:lastRenderedPageBreak/>
        <w:t>被选中的证券经营机构签订</w:t>
      </w:r>
      <w:r w:rsidR="00D7074A" w:rsidRPr="000E68D0">
        <w:rPr>
          <w:rFonts w:ascii="仿宋_GB2312" w:eastAsia="仿宋_GB2312" w:hAnsi="宋体" w:cs="Arial" w:hint="eastAsia"/>
          <w:sz w:val="24"/>
        </w:rPr>
        <w:t>交易单元租用</w:t>
      </w:r>
      <w:r w:rsidRPr="000E68D0">
        <w:rPr>
          <w:rFonts w:ascii="仿宋_GB2312" w:eastAsia="仿宋_GB2312" w:hAnsi="宋体" w:cs="Arial" w:hint="eastAsia"/>
          <w:sz w:val="24"/>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829E4F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基金管理人负责选择为本基金提供期货交易服务的期货经纪公司，并与其签订期货经纪合同。</w:t>
      </w:r>
    </w:p>
    <w:p w14:paraId="3A41CC8C" w14:textId="77777777" w:rsidR="00505116" w:rsidRPr="000E68D0" w:rsidRDefault="00690C57">
      <w:pPr>
        <w:adjustRightInd w:val="0"/>
        <w:snapToGrid w:val="0"/>
        <w:spacing w:before="240" w:after="240" w:line="276" w:lineRule="auto"/>
        <w:ind w:firstLineChars="200" w:firstLine="480"/>
        <w:rPr>
          <w:rFonts w:ascii="仿宋_GB2312" w:eastAsia="仿宋_GB2312"/>
          <w:i/>
          <w:sz w:val="24"/>
          <w:highlight w:val="yellow"/>
        </w:rPr>
      </w:pPr>
      <w:r w:rsidRPr="000E68D0">
        <w:rPr>
          <w:rFonts w:ascii="仿宋_GB2312" w:eastAsia="仿宋_GB2312" w:hAnsi="宋体" w:cs="Arial" w:hint="eastAsia"/>
          <w:sz w:val="24"/>
        </w:rPr>
        <w:t>本基金在开始进行期货投资之前，应与基金托管人、期货公司三方</w:t>
      </w:r>
      <w:proofErr w:type="gramStart"/>
      <w:r w:rsidRPr="000E68D0">
        <w:rPr>
          <w:rFonts w:ascii="仿宋_GB2312" w:eastAsia="仿宋_GB2312" w:hAnsi="宋体" w:cs="Arial" w:hint="eastAsia"/>
          <w:sz w:val="24"/>
        </w:rPr>
        <w:t>一同就</w:t>
      </w:r>
      <w:proofErr w:type="gramEnd"/>
      <w:r w:rsidRPr="000E68D0">
        <w:rPr>
          <w:rFonts w:ascii="仿宋_GB2312" w:eastAsia="仿宋_GB2312" w:hAnsi="宋体" w:cs="Arial" w:hint="eastAsia"/>
          <w:sz w:val="24"/>
        </w:rPr>
        <w:t>期货开户、清算、估值、交收等事宜另行签署《期货投资托管操作三方备忘录》。</w:t>
      </w:r>
    </w:p>
    <w:p w14:paraId="0950E829" w14:textId="79443E5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int="eastAsia"/>
          <w:sz w:val="24"/>
        </w:rPr>
        <w:t>本</w:t>
      </w:r>
      <w:r w:rsidR="003C55D6" w:rsidRPr="000E68D0">
        <w:rPr>
          <w:rFonts w:ascii="仿宋_GB2312" w:eastAsia="仿宋_GB2312" w:hint="eastAsia"/>
          <w:sz w:val="24"/>
        </w:rPr>
        <w:t>基金</w:t>
      </w:r>
      <w:r w:rsidRPr="000E68D0">
        <w:rPr>
          <w:rFonts w:ascii="仿宋_GB2312" w:eastAsia="仿宋_GB2312"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FE72370"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（二）基金投资证券后的清算交收安排</w:t>
      </w:r>
    </w:p>
    <w:p w14:paraId="614788E1"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1.清算与交割</w:t>
      </w:r>
    </w:p>
    <w:p w14:paraId="105B100F" w14:textId="3966D672" w:rsidR="00505116" w:rsidRPr="000E68D0" w:rsidRDefault="00690C57">
      <w:pPr>
        <w:adjustRightInd w:val="0"/>
        <w:snapToGrid w:val="0"/>
        <w:spacing w:before="240" w:after="240" w:line="276" w:lineRule="auto"/>
        <w:ind w:firstLine="480"/>
        <w:rPr>
          <w:rFonts w:ascii="仿宋_GB2312" w:eastAsia="仿宋_GB2312"/>
          <w:sz w:val="24"/>
        </w:rPr>
      </w:pPr>
      <w:r w:rsidRPr="000E68D0">
        <w:rPr>
          <w:rFonts w:ascii="仿宋_GB2312" w:eastAsia="仿宋_GB2312" w:hint="eastAsia"/>
          <w:sz w:val="24"/>
        </w:rPr>
        <w:t>基金管理人与基金托管人应根据有关法律法规及相关业务规则，签订《托管银行证券资金结算协议》，</w:t>
      </w:r>
      <w:r w:rsidR="00A94A51" w:rsidRPr="000E68D0">
        <w:rPr>
          <w:rFonts w:ascii="仿宋_GB2312" w:eastAsia="仿宋_GB2312" w:hint="eastAsia"/>
          <w:sz w:val="24"/>
        </w:rPr>
        <w:t>如投资港股通</w:t>
      </w:r>
      <w:r w:rsidR="00CF635F" w:rsidRPr="000E68D0">
        <w:rPr>
          <w:rFonts w:ascii="仿宋_GB2312" w:eastAsia="仿宋_GB2312" w:hint="eastAsia"/>
          <w:sz w:val="24"/>
        </w:rPr>
        <w:t>标的股票</w:t>
      </w:r>
      <w:r w:rsidR="00A94A51" w:rsidRPr="000E68D0">
        <w:rPr>
          <w:rFonts w:ascii="仿宋_GB2312" w:eastAsia="仿宋_GB2312" w:hint="eastAsia"/>
          <w:sz w:val="24"/>
        </w:rPr>
        <w:t>，还需签订《证券投资基金港股通结算补充协议》，</w:t>
      </w:r>
      <w:r w:rsidRPr="000E68D0">
        <w:rPr>
          <w:rFonts w:ascii="仿宋_GB2312" w:eastAsia="仿宋_GB2312" w:hint="eastAsia"/>
          <w:sz w:val="24"/>
        </w:rPr>
        <w:t>用以具体明确基金管理人与基金托管人在证券交易资金结算业务中的责任。</w:t>
      </w:r>
    </w:p>
    <w:p w14:paraId="1083CDA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B74DD47"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D59B852" w14:textId="7F115C44" w:rsidR="00505116" w:rsidRPr="000E68D0" w:rsidRDefault="00690C57" w:rsidP="0063528C">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如果因为基金托管人</w:t>
      </w:r>
      <w:r w:rsidR="0063528C" w:rsidRPr="000E68D0">
        <w:rPr>
          <w:rFonts w:ascii="仿宋_GB2312" w:eastAsia="仿宋_GB2312" w:hAnsi="宋体" w:cs="Arial" w:hint="eastAsia"/>
          <w:sz w:val="24"/>
        </w:rPr>
        <w:t>过错</w:t>
      </w:r>
      <w:r w:rsidRPr="000E68D0">
        <w:rPr>
          <w:rFonts w:ascii="仿宋_GB2312" w:eastAsia="仿宋_GB2312"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w:t>
      </w:r>
      <w:r w:rsidRPr="000E68D0">
        <w:rPr>
          <w:rFonts w:ascii="仿宋_GB2312" w:eastAsia="仿宋_GB2312" w:hAnsi="宋体" w:cs="Arial" w:hint="eastAsia"/>
          <w:sz w:val="24"/>
        </w:rPr>
        <w:lastRenderedPageBreak/>
        <w:t>承担；如果由于基金管理人违反市场操作规则的规定进行超买、超卖及质押</w:t>
      </w:r>
      <w:proofErr w:type="gramStart"/>
      <w:r w:rsidRPr="000E68D0">
        <w:rPr>
          <w:rFonts w:ascii="仿宋_GB2312" w:eastAsia="仿宋_GB2312" w:hAnsi="宋体" w:cs="Arial" w:hint="eastAsia"/>
          <w:sz w:val="24"/>
        </w:rPr>
        <w:t>券</w:t>
      </w:r>
      <w:proofErr w:type="gramEnd"/>
      <w:r w:rsidRPr="000E68D0">
        <w:rPr>
          <w:rFonts w:ascii="仿宋_GB2312" w:eastAsia="仿宋_GB2312"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14:paraId="3600FF3A" w14:textId="77777777" w:rsidR="00505116" w:rsidRPr="000E68D0" w:rsidRDefault="00690C57">
      <w:pPr>
        <w:adjustRightInd w:val="0"/>
        <w:snapToGrid w:val="0"/>
        <w:spacing w:before="240" w:after="240" w:line="276" w:lineRule="auto"/>
        <w:ind w:firstLine="480"/>
        <w:rPr>
          <w:rFonts w:ascii="仿宋_GB2312" w:eastAsia="仿宋_GB2312" w:hAnsi="宋体" w:cs="宋体"/>
          <w:color w:val="000000"/>
          <w:kern w:val="0"/>
          <w:sz w:val="24"/>
        </w:rPr>
      </w:pPr>
      <w:r w:rsidRPr="000E68D0">
        <w:rPr>
          <w:rFonts w:ascii="仿宋_GB2312" w:eastAsia="仿宋_GB2312" w:hAnsi="宋体" w:cs="宋体" w:hint="eastAsia"/>
          <w:color w:val="000000"/>
          <w:kern w:val="0"/>
          <w:sz w:val="24"/>
        </w:rPr>
        <w:t>基金管理人应采取合理、必要措施，确保T日日终有足够的资金头寸完成 T+1日</w:t>
      </w:r>
      <w:r w:rsidRPr="000E68D0">
        <w:rPr>
          <w:rFonts w:ascii="仿宋_GB2312" w:eastAsia="仿宋_GB2312" w:hint="eastAsia"/>
          <w:sz w:val="24"/>
        </w:rPr>
        <w:t>中国证券登记结算有限责任公司的资金</w:t>
      </w:r>
      <w:r w:rsidRPr="000E68D0">
        <w:rPr>
          <w:rFonts w:ascii="仿宋_GB2312" w:eastAsia="仿宋_GB2312" w:hAnsi="宋体" w:cs="宋体" w:hint="eastAsia"/>
          <w:color w:val="000000"/>
          <w:kern w:val="0"/>
          <w:sz w:val="24"/>
        </w:rPr>
        <w:t>交收；如因基金管理</w:t>
      </w:r>
      <w:proofErr w:type="gramStart"/>
      <w:r w:rsidRPr="000E68D0">
        <w:rPr>
          <w:rFonts w:ascii="仿宋_GB2312" w:eastAsia="仿宋_GB2312" w:hAnsi="宋体" w:cs="宋体" w:hint="eastAsia"/>
          <w:color w:val="000000"/>
          <w:kern w:val="0"/>
          <w:sz w:val="24"/>
        </w:rPr>
        <w:t>人原因</w:t>
      </w:r>
      <w:proofErr w:type="gramEnd"/>
      <w:r w:rsidRPr="000E68D0">
        <w:rPr>
          <w:rFonts w:ascii="仿宋_GB2312" w:eastAsia="仿宋_GB2312"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sidRPr="000E68D0">
        <w:rPr>
          <w:rFonts w:ascii="仿宋_GB2312" w:eastAsia="仿宋_GB2312" w:hAnsi="宋体" w:cs="Arial" w:hint="eastAsia"/>
          <w:sz w:val="24"/>
        </w:rPr>
        <w:t xml:space="preserve"> </w:t>
      </w:r>
    </w:p>
    <w:p w14:paraId="5F4C1AF3"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0E68D0">
        <w:rPr>
          <w:rFonts w:ascii="仿宋_GB2312" w:eastAsia="仿宋_GB2312" w:hAnsi="宋体" w:cs="宋体" w:hint="eastAsia"/>
          <w:color w:val="000000"/>
          <w:kern w:val="0"/>
          <w:sz w:val="24"/>
        </w:rPr>
        <w:t>券</w:t>
      </w:r>
      <w:proofErr w:type="gramEnd"/>
      <w:r w:rsidRPr="000E68D0">
        <w:rPr>
          <w:rFonts w:ascii="仿宋_GB2312" w:eastAsia="仿宋_GB2312" w:hAnsi="宋体" w:cs="宋体" w:hint="eastAsia"/>
          <w:color w:val="000000"/>
          <w:kern w:val="0"/>
          <w:sz w:val="24"/>
        </w:rPr>
        <w:t>。如因基金管理</w:t>
      </w:r>
      <w:proofErr w:type="gramStart"/>
      <w:r w:rsidRPr="000E68D0">
        <w:rPr>
          <w:rFonts w:ascii="仿宋_GB2312" w:eastAsia="仿宋_GB2312" w:hAnsi="宋体" w:cs="宋体" w:hint="eastAsia"/>
          <w:color w:val="000000"/>
          <w:kern w:val="0"/>
          <w:sz w:val="24"/>
        </w:rPr>
        <w:t>人原因</w:t>
      </w:r>
      <w:proofErr w:type="gramEnd"/>
      <w:r w:rsidRPr="000E68D0">
        <w:rPr>
          <w:rFonts w:ascii="仿宋_GB2312" w:eastAsia="仿宋_GB2312" w:hAnsi="宋体" w:cs="宋体" w:hint="eastAsia"/>
          <w:color w:val="000000"/>
          <w:kern w:val="0"/>
          <w:sz w:val="24"/>
        </w:rPr>
        <w:t>造成债券回购交收违约或因折算率变化造成质押欠库，导致中国证券登记结算有限责任公司欠库扣款或对质押</w:t>
      </w:r>
      <w:proofErr w:type="gramStart"/>
      <w:r w:rsidRPr="000E68D0">
        <w:rPr>
          <w:rFonts w:ascii="仿宋_GB2312" w:eastAsia="仿宋_GB2312" w:hAnsi="宋体" w:cs="宋体" w:hint="eastAsia"/>
          <w:color w:val="000000"/>
          <w:kern w:val="0"/>
          <w:sz w:val="24"/>
        </w:rPr>
        <w:t>券</w:t>
      </w:r>
      <w:proofErr w:type="gramEnd"/>
      <w:r w:rsidRPr="000E68D0">
        <w:rPr>
          <w:rFonts w:ascii="仿宋_GB2312" w:eastAsia="仿宋_GB2312" w:hAnsi="宋体" w:cs="宋体" w:hint="eastAsia"/>
          <w:color w:val="000000"/>
          <w:kern w:val="0"/>
          <w:sz w:val="24"/>
        </w:rPr>
        <w:t>进行处置造成的投资风险和损失由基金管理人承担。</w:t>
      </w:r>
    </w:p>
    <w:p w14:paraId="05B2D60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实行场内T+0交收的资金清算按照基金托管人的相关规定流程执行。</w:t>
      </w:r>
    </w:p>
    <w:p w14:paraId="38C9F77A" w14:textId="57BD92FB"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2.交易记录、资金和证券</w:t>
      </w:r>
      <w:r w:rsidR="00CA5E5E" w:rsidRPr="000E68D0">
        <w:rPr>
          <w:rFonts w:ascii="仿宋_GB2312" w:eastAsia="仿宋_GB2312" w:hAnsi="宋体" w:cs="Arial" w:hint="eastAsia"/>
          <w:sz w:val="24"/>
        </w:rPr>
        <w:t>/期货</w:t>
      </w:r>
      <w:r w:rsidRPr="000E68D0">
        <w:rPr>
          <w:rFonts w:ascii="仿宋_GB2312" w:eastAsia="仿宋_GB2312" w:hAnsi="宋体" w:cs="Arial" w:hint="eastAsia"/>
          <w:sz w:val="24"/>
        </w:rPr>
        <w:t>账目核对的时间和方式</w:t>
      </w:r>
    </w:p>
    <w:p w14:paraId="3727E5DA"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（1）交易记录的核对</w:t>
      </w:r>
    </w:p>
    <w:p w14:paraId="10A9B091" w14:textId="6BA3CB5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8E7726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（2）资金账目的核对</w:t>
      </w:r>
    </w:p>
    <w:p w14:paraId="421BECEC"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资金账目按日核实。</w:t>
      </w:r>
    </w:p>
    <w:p w14:paraId="445CF2F9" w14:textId="37538654"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（3）证券</w:t>
      </w:r>
      <w:r w:rsidR="00CA5E5E" w:rsidRPr="000E68D0">
        <w:rPr>
          <w:rFonts w:ascii="仿宋_GB2312" w:eastAsia="仿宋_GB2312" w:hAnsi="宋体" w:cs="Arial" w:hint="eastAsia"/>
          <w:sz w:val="24"/>
        </w:rPr>
        <w:t>/期货</w:t>
      </w:r>
      <w:r w:rsidRPr="000E68D0">
        <w:rPr>
          <w:rFonts w:ascii="仿宋_GB2312" w:eastAsia="仿宋_GB2312" w:hAnsi="宋体" w:cs="Arial" w:hint="eastAsia"/>
          <w:sz w:val="24"/>
        </w:rPr>
        <w:t>账目的核对</w:t>
      </w:r>
    </w:p>
    <w:p w14:paraId="3CE2211C" w14:textId="633BE6B6"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基金管理人和基金托管人每</w:t>
      </w:r>
      <w:r w:rsidR="003C55D6" w:rsidRPr="000E68D0">
        <w:rPr>
          <w:rFonts w:ascii="仿宋_GB2312" w:eastAsia="仿宋_GB2312" w:hAnsi="宋体" w:cs="Arial" w:hint="eastAsia"/>
          <w:sz w:val="24"/>
        </w:rPr>
        <w:t>个</w:t>
      </w:r>
      <w:r w:rsidRPr="000E68D0">
        <w:rPr>
          <w:rFonts w:ascii="仿宋_GB2312" w:eastAsia="仿宋_GB2312" w:hAnsi="宋体" w:cs="Arial" w:hint="eastAsia"/>
          <w:sz w:val="24"/>
        </w:rPr>
        <w:t>交易日结束后核对基金证券</w:t>
      </w:r>
      <w:r w:rsidR="00CA5E5E" w:rsidRPr="000E68D0">
        <w:rPr>
          <w:rFonts w:ascii="仿宋_GB2312" w:eastAsia="仿宋_GB2312" w:hAnsi="宋体" w:cs="Arial" w:hint="eastAsia"/>
          <w:sz w:val="24"/>
        </w:rPr>
        <w:t>/期货</w:t>
      </w:r>
      <w:r w:rsidRPr="000E68D0">
        <w:rPr>
          <w:rFonts w:ascii="仿宋_GB2312" w:eastAsia="仿宋_GB2312" w:hAnsi="宋体" w:cs="Arial" w:hint="eastAsia"/>
          <w:sz w:val="24"/>
        </w:rPr>
        <w:t>账目，确保双方账目相符。基金管理人和基金托管人每月月末核对实物证券账目。</w:t>
      </w:r>
    </w:p>
    <w:p w14:paraId="4A1D032B" w14:textId="77777777" w:rsidR="00505116" w:rsidRPr="000E68D0" w:rsidRDefault="00690C57">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（三）基金申购和赎回业务处理的基本规定</w:t>
      </w:r>
    </w:p>
    <w:p w14:paraId="560F53D9"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1.基金份额申购、赎回的确认、清算由基金管理人或其委托的登记机构负责。</w:t>
      </w:r>
    </w:p>
    <w:p w14:paraId="251093C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lastRenderedPageBreak/>
        <w:t>2. 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80150D9"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3.基金管理人应保证本基金（或本基金管理人委托）的登记机构每个工作日15:00前向基金托管人发送前一开放</w:t>
      </w:r>
      <w:proofErr w:type="gramStart"/>
      <w:r w:rsidRPr="000E68D0">
        <w:rPr>
          <w:rFonts w:ascii="仿宋_GB2312" w:eastAsia="仿宋_GB2312" w:hAnsi="宋体" w:cs="Arial" w:hint="eastAsia"/>
          <w:sz w:val="24"/>
        </w:rPr>
        <w:t>日上述</w:t>
      </w:r>
      <w:proofErr w:type="gramEnd"/>
      <w:r w:rsidRPr="000E68D0">
        <w:rPr>
          <w:rFonts w:ascii="仿宋_GB2312" w:eastAsia="仿宋_GB2312" w:hAnsi="宋体" w:cs="Arial" w:hint="eastAsia"/>
          <w:sz w:val="24"/>
        </w:rPr>
        <w:t>有关数据，并保证相关数据的准确、完整。</w:t>
      </w:r>
    </w:p>
    <w:p w14:paraId="3587405E"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0BD1E1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14:paraId="1237CD7E"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6.关于清算专用账户的设立和管理</w:t>
      </w:r>
    </w:p>
    <w:p w14:paraId="01D327A7"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为满足申购、赎回及分红资金汇划的需要，由基金管理人开立资金清算的专用账户，该账户由登记机构管理。</w:t>
      </w:r>
    </w:p>
    <w:p w14:paraId="1CA4F315" w14:textId="28122AD8"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823AF4" w:rsidRPr="000E68D0">
        <w:rPr>
          <w:rFonts w:ascii="仿宋_GB2312" w:eastAsia="仿宋_GB2312" w:hAnsi="宋体" w:cs="Arial" w:hint="eastAsia"/>
          <w:sz w:val="24"/>
        </w:rPr>
        <w:t>，基金托管人予以必要的协助和配合</w:t>
      </w:r>
      <w:r w:rsidRPr="000E68D0">
        <w:rPr>
          <w:rFonts w:ascii="仿宋_GB2312" w:eastAsia="仿宋_GB2312" w:hAnsi="宋体" w:cs="Arial" w:hint="eastAsia"/>
          <w:sz w:val="24"/>
        </w:rPr>
        <w:t>。</w:t>
      </w:r>
    </w:p>
    <w:p w14:paraId="7F0E360F"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8.赎回和分红资金划拨规定</w:t>
      </w:r>
    </w:p>
    <w:p w14:paraId="5F3CCE97" w14:textId="482F893B"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拨付</w:t>
      </w:r>
      <w:proofErr w:type="gramStart"/>
      <w:r w:rsidRPr="000E68D0">
        <w:rPr>
          <w:rFonts w:ascii="仿宋_GB2312" w:eastAsia="仿宋_GB2312" w:hAnsi="宋体" w:cs="Arial" w:hint="eastAsia"/>
          <w:sz w:val="24"/>
        </w:rPr>
        <w:t>赎回款</w:t>
      </w:r>
      <w:proofErr w:type="gramEnd"/>
      <w:r w:rsidRPr="000E68D0">
        <w:rPr>
          <w:rFonts w:ascii="仿宋_GB2312" w:eastAsia="仿宋_GB2312" w:hAnsi="宋体" w:cs="Arial" w:hint="eastAsia"/>
          <w:sz w:val="24"/>
        </w:rPr>
        <w:t>或进行基金分红时，如基金资金账户有足够的资金，基金托管人应按时拨付；因基金资金账户没有足够的资金，导致基金托管人不能按时拨付</w:t>
      </w:r>
      <w:r w:rsidR="00CB6CD6" w:rsidRPr="000E68D0">
        <w:rPr>
          <w:rFonts w:ascii="仿宋_GB2312" w:eastAsia="仿宋_GB2312" w:hAnsi="宋体" w:cs="Arial" w:hint="eastAsia"/>
          <w:sz w:val="24"/>
        </w:rPr>
        <w:t>，</w:t>
      </w:r>
      <w:r w:rsidRPr="000E68D0">
        <w:rPr>
          <w:rFonts w:ascii="仿宋_GB2312" w:eastAsia="仿宋_GB2312" w:hAnsi="宋体" w:cs="Arial" w:hint="eastAsia"/>
          <w:sz w:val="24"/>
        </w:rPr>
        <w:t>如</w:t>
      </w:r>
      <w:proofErr w:type="gramStart"/>
      <w:r w:rsidRPr="000E68D0">
        <w:rPr>
          <w:rFonts w:ascii="仿宋_GB2312" w:eastAsia="仿宋_GB2312" w:hAnsi="宋体" w:cs="Arial" w:hint="eastAsia"/>
          <w:sz w:val="24"/>
        </w:rPr>
        <w:t>系基金</w:t>
      </w:r>
      <w:proofErr w:type="gramEnd"/>
      <w:r w:rsidRPr="000E68D0">
        <w:rPr>
          <w:rFonts w:ascii="仿宋_GB2312" w:eastAsia="仿宋_GB2312" w:hAnsi="宋体" w:cs="Arial" w:hint="eastAsia"/>
          <w:sz w:val="24"/>
        </w:rPr>
        <w:t>管理人的原因造成，</w:t>
      </w:r>
      <w:r w:rsidR="00C41684" w:rsidRPr="000E68D0">
        <w:rPr>
          <w:rFonts w:ascii="仿宋_GB2312" w:eastAsia="仿宋_GB2312" w:hAnsi="宋体" w:cs="Arial" w:hint="eastAsia"/>
          <w:sz w:val="24"/>
        </w:rPr>
        <w:t>责任由基金管理人承担，</w:t>
      </w:r>
      <w:r w:rsidRPr="000E68D0">
        <w:rPr>
          <w:rFonts w:ascii="仿宋_GB2312" w:eastAsia="仿宋_GB2312" w:hAnsi="宋体" w:cs="Arial" w:hint="eastAsia"/>
          <w:sz w:val="24"/>
        </w:rPr>
        <w:t>基金托管人不承担垫款义务。</w:t>
      </w:r>
    </w:p>
    <w:p w14:paraId="3ACE5B7C"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9.资金指令</w:t>
      </w:r>
    </w:p>
    <w:p w14:paraId="19987BB7"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14:paraId="09CEE2E4"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资金指令的格式、内容、发送、接收和确认方式等与投资指令相同。</w:t>
      </w:r>
    </w:p>
    <w:p w14:paraId="60E2FC46"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（四）</w:t>
      </w:r>
      <w:proofErr w:type="gramStart"/>
      <w:r w:rsidRPr="000E68D0">
        <w:rPr>
          <w:rFonts w:ascii="仿宋_GB2312" w:eastAsia="仿宋_GB2312" w:hAnsi="宋体" w:cs="Arial" w:hint="eastAsia"/>
          <w:sz w:val="24"/>
        </w:rPr>
        <w:t>申赎净额</w:t>
      </w:r>
      <w:proofErr w:type="gramEnd"/>
      <w:r w:rsidRPr="000E68D0">
        <w:rPr>
          <w:rFonts w:ascii="仿宋_GB2312" w:eastAsia="仿宋_GB2312" w:hAnsi="宋体" w:cs="Arial" w:hint="eastAsia"/>
          <w:sz w:val="24"/>
        </w:rPr>
        <w:t>结算</w:t>
      </w:r>
    </w:p>
    <w:p w14:paraId="7EF4F326" w14:textId="348CD286" w:rsidR="00505116" w:rsidRPr="000E68D0" w:rsidRDefault="00690C57">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基金托管账户与“</w:t>
      </w:r>
      <w:r w:rsidR="00DF0F53" w:rsidRPr="000E68D0">
        <w:rPr>
          <w:rFonts w:ascii="仿宋_GB2312" w:eastAsia="仿宋_GB2312" w:hAnsi="宋体" w:cs="Arial" w:hint="eastAsia"/>
          <w:sz w:val="24"/>
        </w:rPr>
        <w:t>基金</w:t>
      </w:r>
      <w:r w:rsidRPr="000E68D0">
        <w:rPr>
          <w:rFonts w:ascii="仿宋_GB2312" w:eastAsia="仿宋_GB2312" w:hAnsi="宋体" w:cs="Arial" w:hint="eastAsia"/>
          <w:sz w:val="24"/>
        </w:rPr>
        <w:t>清算账户”间的资金清算遵循“全额清算、净额交收”</w:t>
      </w:r>
      <w:r w:rsidRPr="000E68D0">
        <w:rPr>
          <w:rFonts w:ascii="仿宋_GB2312" w:eastAsia="仿宋_GB2312" w:hAnsi="宋体" w:cs="Arial" w:hint="eastAsia"/>
          <w:sz w:val="24"/>
        </w:rPr>
        <w:lastRenderedPageBreak/>
        <w:t>的原则，每日按照托管账户当日应收资金（包括申购资金及基金转换转入款）与应付资金额（含赎回资金、扣除</w:t>
      </w:r>
      <w:proofErr w:type="gramStart"/>
      <w:r w:rsidRPr="000E68D0">
        <w:rPr>
          <w:rFonts w:ascii="仿宋_GB2312" w:eastAsia="仿宋_GB2312" w:hAnsi="宋体" w:cs="Arial" w:hint="eastAsia"/>
          <w:sz w:val="24"/>
        </w:rPr>
        <w:t>归基金</w:t>
      </w:r>
      <w:proofErr w:type="gramEnd"/>
      <w:r w:rsidRPr="000E68D0">
        <w:rPr>
          <w:rFonts w:ascii="仿宋_GB2312" w:eastAsia="仿宋_GB2312" w:hAnsi="宋体" w:cs="Arial" w:hint="eastAsia"/>
          <w:sz w:val="24"/>
        </w:rPr>
        <w:t>财产的赎回费、基金转换转出款及扣除</w:t>
      </w:r>
      <w:proofErr w:type="gramStart"/>
      <w:r w:rsidRPr="000E68D0">
        <w:rPr>
          <w:rFonts w:ascii="仿宋_GB2312" w:eastAsia="仿宋_GB2312" w:hAnsi="宋体" w:cs="Arial" w:hint="eastAsia"/>
          <w:sz w:val="24"/>
        </w:rPr>
        <w:t>归基金</w:t>
      </w:r>
      <w:proofErr w:type="gramEnd"/>
      <w:r w:rsidRPr="000E68D0">
        <w:rPr>
          <w:rFonts w:ascii="仿宋_GB2312" w:eastAsia="仿宋_GB2312" w:hAnsi="宋体" w:cs="Arial" w:hint="eastAsia"/>
          <w:sz w:val="24"/>
        </w:rPr>
        <w:t>财产的转换费）的差额来确定托管账户净应收额或净应付额，以此确定资金交收额。当存在托管账户净应收额时，基金管理人负责将托管账户净应收额在T日</w:t>
      </w:r>
      <w:r w:rsidR="003C55D6" w:rsidRPr="000E68D0">
        <w:rPr>
          <w:rFonts w:ascii="仿宋_GB2312" w:eastAsia="仿宋_GB2312" w:hAnsi="宋体" w:cs="Arial" w:hint="eastAsia"/>
          <w:sz w:val="24"/>
        </w:rPr>
        <w:t>(T日：资金交收日，下同)</w:t>
      </w:r>
      <w:r w:rsidRPr="000E68D0">
        <w:rPr>
          <w:rFonts w:ascii="仿宋_GB2312" w:eastAsia="仿宋_GB2312" w:hAnsi="宋体" w:cs="Arial" w:hint="eastAsia"/>
          <w:sz w:val="24"/>
        </w:rPr>
        <w:t>15:00前从“</w:t>
      </w:r>
      <w:r w:rsidR="00DF0F53" w:rsidRPr="000E68D0">
        <w:rPr>
          <w:rFonts w:ascii="仿宋_GB2312" w:eastAsia="仿宋_GB2312" w:hAnsi="宋体" w:cs="Arial" w:hint="eastAsia"/>
          <w:sz w:val="24"/>
        </w:rPr>
        <w:t>基金</w:t>
      </w:r>
      <w:r w:rsidRPr="000E68D0">
        <w:rPr>
          <w:rFonts w:ascii="仿宋_GB2312" w:eastAsia="仿宋_GB2312" w:hAnsi="宋体" w:cs="Arial" w:hint="eastAsia"/>
          <w:sz w:val="24"/>
        </w:rPr>
        <w:t>清算账户”划到基金托管账户；当存在托管账户净应付额时，基金管理人应在T日</w:t>
      </w:r>
      <w:r w:rsidR="006023BF" w:rsidRPr="000E68D0">
        <w:rPr>
          <w:rFonts w:ascii="仿宋_GB2312" w:eastAsia="仿宋_GB2312" w:hAnsi="宋体" w:cs="Arial" w:hint="eastAsia"/>
          <w:sz w:val="24"/>
        </w:rPr>
        <w:t>10点前</w:t>
      </w:r>
      <w:r w:rsidRPr="000E68D0">
        <w:rPr>
          <w:rFonts w:ascii="仿宋_GB2312" w:eastAsia="仿宋_GB2312" w:hAnsi="宋体" w:cs="Arial" w:hint="eastAsia"/>
          <w:sz w:val="24"/>
        </w:rPr>
        <w:t>将划款指令发送给基金托管人，基金托管人按基金管理人的划款指令将托管账户净应付额在T日1</w:t>
      </w:r>
      <w:r w:rsidR="008B7F68" w:rsidRPr="000E68D0">
        <w:rPr>
          <w:rFonts w:ascii="仿宋_GB2312" w:eastAsia="仿宋_GB2312" w:hAnsi="宋体" w:cs="Arial" w:hint="eastAsia"/>
          <w:sz w:val="24"/>
        </w:rPr>
        <w:t>5</w:t>
      </w:r>
      <w:r w:rsidRPr="000E68D0">
        <w:rPr>
          <w:rFonts w:ascii="仿宋_GB2312" w:eastAsia="仿宋_GB2312" w:hAnsi="宋体" w:cs="Arial" w:hint="eastAsia"/>
          <w:sz w:val="24"/>
        </w:rPr>
        <w:t>:00之前</w:t>
      </w:r>
      <w:proofErr w:type="gramStart"/>
      <w:r w:rsidRPr="000E68D0">
        <w:rPr>
          <w:rFonts w:ascii="仿宋_GB2312" w:eastAsia="仿宋_GB2312" w:hAnsi="宋体" w:cs="Arial" w:hint="eastAsia"/>
          <w:sz w:val="24"/>
        </w:rPr>
        <w:t>划往基金</w:t>
      </w:r>
      <w:proofErr w:type="gramEnd"/>
      <w:r w:rsidRPr="000E68D0">
        <w:rPr>
          <w:rFonts w:ascii="仿宋_GB2312" w:eastAsia="仿宋_GB2312" w:hAnsi="宋体" w:cs="Arial" w:hint="eastAsia"/>
          <w:sz w:val="24"/>
        </w:rPr>
        <w:t>清算账户。</w:t>
      </w:r>
    </w:p>
    <w:p w14:paraId="16210453" w14:textId="77777777" w:rsidR="00505116" w:rsidRPr="000E68D0" w:rsidRDefault="00690C57" w:rsidP="001F3A04">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（五）基金转换</w:t>
      </w:r>
    </w:p>
    <w:p w14:paraId="0BAFA006" w14:textId="77777777" w:rsidR="00505116" w:rsidRPr="000E68D0" w:rsidRDefault="00690C57" w:rsidP="001F3A04">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1.在本基金与基金管理人管理的其它基金开展转换业务之前，基金管理人应函告基金托管人并就相关事宜进行协商。</w:t>
      </w:r>
    </w:p>
    <w:p w14:paraId="6B9ABEAC" w14:textId="77777777" w:rsidR="00505116" w:rsidRPr="000E68D0" w:rsidRDefault="00690C57" w:rsidP="001F3A04">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2.基金托管人将根据基金管理人传送的基金转换数据进行账务处理，</w:t>
      </w:r>
      <w:proofErr w:type="gramStart"/>
      <w:r w:rsidRPr="000E68D0">
        <w:rPr>
          <w:rFonts w:ascii="仿宋_GB2312" w:eastAsia="仿宋_GB2312" w:hAnsi="宋体" w:cs="Arial" w:hint="eastAsia"/>
          <w:sz w:val="24"/>
        </w:rPr>
        <w:t>具体资金</w:t>
      </w:r>
      <w:proofErr w:type="gramEnd"/>
      <w:r w:rsidRPr="000E68D0">
        <w:rPr>
          <w:rFonts w:ascii="仿宋_GB2312" w:eastAsia="仿宋_GB2312" w:hAnsi="宋体" w:cs="Arial" w:hint="eastAsia"/>
          <w:sz w:val="24"/>
        </w:rPr>
        <w:t>清算和数据传递的时间、程序及托管协议当事人承担的权责按基金管理人届时的公告执行。</w:t>
      </w:r>
    </w:p>
    <w:p w14:paraId="2A91CB0A" w14:textId="77777777" w:rsidR="00505116" w:rsidRPr="000E68D0" w:rsidRDefault="00690C57" w:rsidP="001F3A04">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3.本基金开展基金转换业务应按相关法律法规规定及《基金合同》的约定进行公告。</w:t>
      </w:r>
    </w:p>
    <w:p w14:paraId="36271088" w14:textId="77777777" w:rsidR="00505116" w:rsidRPr="000E68D0" w:rsidRDefault="00690C57">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（六）基金现金分红</w:t>
      </w:r>
    </w:p>
    <w:p w14:paraId="13B1F95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1.基金管理人确定分红方案通知基金托管人，双方核定后</w:t>
      </w:r>
      <w:r w:rsidRPr="000E68D0">
        <w:rPr>
          <w:rFonts w:ascii="仿宋_GB2312" w:eastAsia="仿宋_GB2312" w:hint="eastAsia"/>
          <w:sz w:val="24"/>
          <w:szCs w:val="18"/>
        </w:rPr>
        <w:t>依照《信息披露办法》的有关规定在中国证监会</w:t>
      </w:r>
      <w:r w:rsidR="0084425E" w:rsidRPr="000E68D0">
        <w:rPr>
          <w:rFonts w:ascii="仿宋_GB2312" w:eastAsia="仿宋_GB2312" w:hint="eastAsia"/>
          <w:sz w:val="24"/>
          <w:szCs w:val="18"/>
        </w:rPr>
        <w:t>规</w:t>
      </w:r>
      <w:r w:rsidRPr="000E68D0">
        <w:rPr>
          <w:rFonts w:ascii="仿宋_GB2312" w:eastAsia="仿宋_GB2312" w:hint="eastAsia"/>
          <w:sz w:val="24"/>
          <w:szCs w:val="18"/>
        </w:rPr>
        <w:t>定媒介上公告</w:t>
      </w:r>
      <w:r w:rsidRPr="000E68D0">
        <w:rPr>
          <w:rFonts w:ascii="仿宋_GB2312" w:eastAsia="仿宋_GB2312" w:hAnsi="宋体" w:cs="Arial" w:hint="eastAsia"/>
          <w:sz w:val="24"/>
        </w:rPr>
        <w:t>。</w:t>
      </w:r>
    </w:p>
    <w:p w14:paraId="2DB7407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14:paraId="6A310878"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3.基金管理人在下达指令时，应给基金托管人留出必需的划款时间。</w:t>
      </w:r>
    </w:p>
    <w:p w14:paraId="761ECB5E" w14:textId="77777777" w:rsidR="00505116" w:rsidRPr="000E68D0" w:rsidRDefault="00690C57">
      <w:pPr>
        <w:adjustRightInd w:val="0"/>
        <w:snapToGrid w:val="0"/>
        <w:spacing w:before="240" w:after="240" w:line="276" w:lineRule="auto"/>
        <w:ind w:firstLine="480"/>
        <w:outlineLvl w:val="0"/>
        <w:rPr>
          <w:rFonts w:ascii="仿宋_GB2312" w:eastAsia="仿宋_GB2312" w:hAnsi="宋体" w:cs="Arial"/>
          <w:sz w:val="24"/>
        </w:rPr>
      </w:pPr>
      <w:r w:rsidRPr="000E68D0">
        <w:rPr>
          <w:rFonts w:ascii="仿宋_GB2312" w:eastAsia="仿宋_GB2312" w:hAnsi="宋体" w:cs="Arial" w:hint="eastAsia"/>
          <w:sz w:val="24"/>
        </w:rPr>
        <w:t>（七）投资银行存款的特别约定</w:t>
      </w:r>
    </w:p>
    <w:p w14:paraId="166CC4F2"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1.本基金投资银行存款前，基金管理人应与存款银行签订具体存款协议，包括但不限于以下内容：</w:t>
      </w:r>
    </w:p>
    <w:p w14:paraId="65CC2BB0" w14:textId="3158BFCC"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（1）存款账户必须以本基金名义开立</w:t>
      </w:r>
      <w:r w:rsidR="00212010" w:rsidRPr="000E68D0">
        <w:rPr>
          <w:rFonts w:ascii="仿宋_GB2312" w:eastAsia="仿宋_GB2312" w:hAnsi="宋体" w:cs="Arial" w:hint="eastAsia"/>
          <w:sz w:val="24"/>
        </w:rPr>
        <w:t>，</w:t>
      </w:r>
      <w:r w:rsidRPr="000E68D0">
        <w:rPr>
          <w:rFonts w:ascii="仿宋_GB2312" w:eastAsia="仿宋_GB2312" w:hAnsi="宋体" w:cs="Arial" w:hint="eastAsia"/>
          <w:sz w:val="24"/>
        </w:rPr>
        <w:t>并将基金托管人为本基金开立的基金银行账户指定为唯一回款账户，任何情况下，存款银行都不得将存款投资</w:t>
      </w:r>
      <w:proofErr w:type="gramStart"/>
      <w:r w:rsidRPr="000E68D0">
        <w:rPr>
          <w:rFonts w:ascii="仿宋_GB2312" w:eastAsia="仿宋_GB2312" w:hAnsi="宋体" w:cs="Arial" w:hint="eastAsia"/>
          <w:sz w:val="24"/>
        </w:rPr>
        <w:t>本息划往任何</w:t>
      </w:r>
      <w:proofErr w:type="gramEnd"/>
      <w:r w:rsidRPr="000E68D0">
        <w:rPr>
          <w:rFonts w:ascii="仿宋_GB2312" w:eastAsia="仿宋_GB2312" w:hAnsi="宋体" w:cs="Arial" w:hint="eastAsia"/>
          <w:sz w:val="24"/>
        </w:rPr>
        <w:t>其他账户。</w:t>
      </w:r>
    </w:p>
    <w:p w14:paraId="64B4EC7B"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BE119F5"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lastRenderedPageBreak/>
        <w:t>（3）约定存款证实书的具体传递交接方式及交接期限。</w:t>
      </w:r>
    </w:p>
    <w:p w14:paraId="55AD755D" w14:textId="77777777" w:rsidR="00505116" w:rsidRPr="000E68D0" w:rsidRDefault="00690C57">
      <w:pPr>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（4）资金划转过程中需要使用存款银行过渡账户的，存款银行须保证资金在过渡账户中不出现滞留，不被挪用。</w:t>
      </w:r>
    </w:p>
    <w:p w14:paraId="7A7C54D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ECE9C3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74B85C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w:t>
      </w:r>
      <w:r w:rsidR="00391B83" w:rsidRPr="000E68D0">
        <w:rPr>
          <w:rFonts w:ascii="仿宋_GB2312" w:eastAsia="仿宋_GB2312" w:hAnsi="宋体" w:cs="Arial" w:hint="eastAsia"/>
          <w:sz w:val="24"/>
        </w:rPr>
        <w:t>.</w:t>
      </w:r>
      <w:r w:rsidRPr="000E68D0">
        <w:rPr>
          <w:rFonts w:ascii="仿宋_GB2312" w:eastAsia="仿宋_GB2312"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0E68D0">
        <w:rPr>
          <w:rFonts w:ascii="仿宋_GB2312" w:eastAsia="仿宋_GB2312" w:hAnsi="宋体" w:cs="Arial" w:hint="eastAsia"/>
          <w:sz w:val="24"/>
        </w:rPr>
        <w:t>函管</w:t>
      </w:r>
      <w:proofErr w:type="gramEnd"/>
      <w:r w:rsidRPr="000E68D0">
        <w:rPr>
          <w:rFonts w:ascii="仿宋_GB2312" w:eastAsia="仿宋_GB2312"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7074A" w:rsidRPr="000E68D0">
        <w:rPr>
          <w:rFonts w:ascii="仿宋_GB2312" w:eastAsia="仿宋_GB2312" w:hAnsi="宋体" w:cs="Arial" w:hint="eastAsia"/>
          <w:sz w:val="24"/>
        </w:rPr>
        <w:t>托管人处</w:t>
      </w:r>
      <w:r w:rsidRPr="000E68D0">
        <w:rPr>
          <w:rFonts w:ascii="仿宋_GB2312" w:eastAsia="仿宋_GB2312" w:hAnsi="宋体" w:cs="Arial" w:hint="eastAsia"/>
          <w:sz w:val="24"/>
        </w:rPr>
        <w:t>保管后解除。实物凭证未送达但存款本息已安全划回托管账户的，以及因发生特殊情况由管理人提供相关书面说明并重新承诺送单截止时间的，可剔除不计。</w:t>
      </w:r>
    </w:p>
    <w:p w14:paraId="17580C0C" w14:textId="77777777" w:rsidR="00391B83" w:rsidRPr="000E68D0" w:rsidRDefault="00391B83">
      <w:pPr>
        <w:adjustRightInd w:val="0"/>
        <w:snapToGrid w:val="0"/>
        <w:spacing w:before="240" w:after="240" w:line="276" w:lineRule="auto"/>
        <w:ind w:firstLineChars="200" w:firstLine="480"/>
        <w:rPr>
          <w:rFonts w:ascii="仿宋_GB2312" w:eastAsia="仿宋_GB2312" w:hAnsi="宋体" w:cs="Arial"/>
          <w:sz w:val="24"/>
        </w:rPr>
      </w:pPr>
    </w:p>
    <w:p w14:paraId="27D2D94A" w14:textId="77777777" w:rsidR="00505116" w:rsidRPr="000E68D0" w:rsidRDefault="00690C57">
      <w:pPr>
        <w:pStyle w:val="2"/>
        <w:spacing w:before="240" w:after="240" w:line="276" w:lineRule="auto"/>
        <w:jc w:val="center"/>
        <w:rPr>
          <w:rFonts w:ascii="仿宋_GB2312" w:eastAsia="仿宋_GB2312"/>
          <w:sz w:val="30"/>
        </w:rPr>
      </w:pPr>
      <w:r w:rsidRPr="000E68D0">
        <w:rPr>
          <w:rFonts w:ascii="仿宋_GB2312" w:eastAsia="仿宋_GB2312" w:hint="eastAsia"/>
          <w:sz w:val="30"/>
        </w:rPr>
        <w:t xml:space="preserve"> </w:t>
      </w:r>
      <w:bookmarkStart w:id="86" w:name="_Toc151104996"/>
      <w:r w:rsidRPr="000E68D0">
        <w:rPr>
          <w:rFonts w:ascii="仿宋_GB2312" w:eastAsia="仿宋_GB2312" w:hint="eastAsia"/>
          <w:sz w:val="30"/>
        </w:rPr>
        <w:t>八、基金资产净值计算和会计核算</w:t>
      </w:r>
      <w:bookmarkEnd w:id="86"/>
    </w:p>
    <w:p w14:paraId="5EE6B6CF"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（一）基金资产净值的计算、复核与完成的时间及程序</w:t>
      </w:r>
    </w:p>
    <w:p w14:paraId="5400159D" w14:textId="32CBA21C"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sz w:val="24"/>
        </w:rPr>
        <w:t>1.</w:t>
      </w:r>
      <w:r w:rsidR="008D3CEC" w:rsidRPr="000E68D0">
        <w:rPr>
          <w:rFonts w:ascii="仿宋_GB2312" w:eastAsia="仿宋_GB2312" w:hAnsi="宋体" w:cs="Arial" w:hint="eastAsia"/>
          <w:sz w:val="24"/>
        </w:rPr>
        <w:t>各类</w:t>
      </w:r>
      <w:r w:rsidRPr="000E68D0">
        <w:rPr>
          <w:rFonts w:ascii="仿宋_GB2312" w:eastAsia="仿宋_GB2312" w:hAnsi="宋体" w:cs="Arial" w:hint="eastAsia"/>
          <w:sz w:val="24"/>
        </w:rPr>
        <w:t>基金份额净值是按照每个估值日闭市后，</w:t>
      </w:r>
      <w:r w:rsidR="009A1C9E" w:rsidRPr="000E68D0">
        <w:rPr>
          <w:rFonts w:ascii="仿宋_GB2312" w:eastAsia="仿宋_GB2312" w:hAnsi="宋体" w:cs="Arial" w:hint="eastAsia"/>
          <w:sz w:val="24"/>
        </w:rPr>
        <w:t>该类</w:t>
      </w:r>
      <w:r w:rsidRPr="000E68D0">
        <w:rPr>
          <w:rFonts w:ascii="仿宋_GB2312" w:eastAsia="仿宋_GB2312" w:hAnsi="宋体" w:cs="Arial" w:hint="eastAsia"/>
          <w:sz w:val="24"/>
        </w:rPr>
        <w:t>基金资产净值除以当日</w:t>
      </w:r>
      <w:r w:rsidR="002C2FEF" w:rsidRPr="000E68D0">
        <w:rPr>
          <w:rFonts w:ascii="仿宋_GB2312" w:eastAsia="仿宋_GB2312" w:hAnsi="宋体" w:cs="Arial" w:hint="eastAsia"/>
          <w:sz w:val="24"/>
        </w:rPr>
        <w:t>该类</w:t>
      </w:r>
      <w:r w:rsidRPr="000E68D0">
        <w:rPr>
          <w:rFonts w:ascii="仿宋_GB2312" w:eastAsia="仿宋_GB2312" w:hAnsi="宋体" w:cs="Arial" w:hint="eastAsia"/>
          <w:sz w:val="24"/>
        </w:rPr>
        <w:t>基金份额的余额数量计算，</w:t>
      </w:r>
      <w:r w:rsidR="008D62C2" w:rsidRPr="000E68D0">
        <w:rPr>
          <w:rFonts w:ascii="仿宋_GB2312" w:eastAsia="仿宋_GB2312" w:hAnsi="宋体" w:cs="Arial" w:hint="eastAsia"/>
          <w:sz w:val="24"/>
        </w:rPr>
        <w:t>均</w:t>
      </w:r>
      <w:r w:rsidRPr="000E68D0">
        <w:rPr>
          <w:rFonts w:ascii="仿宋_GB2312" w:eastAsia="仿宋_GB2312" w:hAnsi="宋体" w:cs="Arial" w:hint="eastAsia"/>
          <w:sz w:val="24"/>
        </w:rPr>
        <w:t>精确到0.0001元，小数点后第5位四舍五入</w:t>
      </w:r>
      <w:r w:rsidR="002C2FEF" w:rsidRPr="000E68D0">
        <w:rPr>
          <w:rFonts w:ascii="仿宋_GB2312" w:eastAsia="仿宋_GB2312" w:hAnsi="宋体" w:cs="Arial" w:hint="eastAsia"/>
          <w:sz w:val="24"/>
        </w:rPr>
        <w:t>，由此产生的收益或损失由基金财产承担</w:t>
      </w:r>
      <w:r w:rsidRPr="000E68D0">
        <w:rPr>
          <w:rFonts w:ascii="仿宋_GB2312" w:eastAsia="仿宋_GB2312" w:hAnsi="宋体" w:cs="Arial" w:hint="eastAsia"/>
          <w:sz w:val="24"/>
        </w:rPr>
        <w:t>。基金管理人可以设立大额赎回情形下的净值精度应急调整机制。国家另有规定的，从其规定。</w:t>
      </w:r>
    </w:p>
    <w:p w14:paraId="224A0FE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2.基金管理人</w:t>
      </w:r>
      <w:proofErr w:type="gramStart"/>
      <w:r w:rsidRPr="000E68D0">
        <w:rPr>
          <w:rFonts w:ascii="仿宋_GB2312" w:eastAsia="仿宋_GB2312" w:hAnsi="宋体" w:cs="Arial" w:hint="eastAsia"/>
          <w:sz w:val="24"/>
        </w:rPr>
        <w:t>应每个</w:t>
      </w:r>
      <w:proofErr w:type="gramEnd"/>
      <w:r w:rsidRPr="000E68D0">
        <w:rPr>
          <w:rFonts w:ascii="仿宋_GB2312" w:eastAsia="仿宋_GB2312" w:hAnsi="宋体" w:cs="Arial" w:hint="eastAsia"/>
          <w:sz w:val="24"/>
        </w:rPr>
        <w:t>估值日对基金资产估值。但基金管理人根据法律法规或基金合同的规定暂停估值时除外。基金管理人每个估值日对基金资产估值后，将</w:t>
      </w:r>
      <w:r w:rsidR="002C2FEF" w:rsidRPr="000E68D0">
        <w:rPr>
          <w:rFonts w:ascii="仿宋_GB2312" w:eastAsia="仿宋_GB2312" w:hAnsi="宋体" w:cs="Arial" w:hint="eastAsia"/>
          <w:sz w:val="24"/>
        </w:rPr>
        <w:t>各类</w:t>
      </w:r>
      <w:r w:rsidRPr="000E68D0">
        <w:rPr>
          <w:rFonts w:ascii="仿宋_GB2312" w:eastAsia="仿宋_GB2312" w:hAnsi="宋体" w:cs="Arial" w:hint="eastAsia"/>
          <w:sz w:val="24"/>
        </w:rPr>
        <w:t>基金份额净值结果发送基金托管人，经基金托管人复核无误后，由基金管理人按</w:t>
      </w:r>
      <w:r w:rsidRPr="000E68D0">
        <w:rPr>
          <w:rFonts w:ascii="仿宋_GB2312" w:eastAsia="仿宋_GB2312" w:hAnsi="宋体" w:cs="Arial" w:hint="eastAsia"/>
          <w:sz w:val="24"/>
        </w:rPr>
        <w:lastRenderedPageBreak/>
        <w:t>照规定对外公布。</w:t>
      </w:r>
    </w:p>
    <w:p w14:paraId="0E5047D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（二）基金资产估值方法和特殊情形的处理</w:t>
      </w:r>
    </w:p>
    <w:p w14:paraId="38E1BF4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1.估值对象</w:t>
      </w:r>
    </w:p>
    <w:p w14:paraId="4774DAE4" w14:textId="43F302B8"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基金所拥有的股票、债券和银行存款本息、应收款项、股指期货合约、国债期货合约、股票期权合约、</w:t>
      </w:r>
      <w:r w:rsidR="00212010" w:rsidRPr="000E68D0">
        <w:rPr>
          <w:rFonts w:ascii="仿宋_GB2312" w:eastAsia="仿宋_GB2312" w:hAnsi="宋体" w:cs="Arial" w:hint="eastAsia"/>
          <w:bCs/>
          <w:sz w:val="24"/>
        </w:rPr>
        <w:t>资产支持证券、</w:t>
      </w:r>
      <w:r w:rsidRPr="000E68D0">
        <w:rPr>
          <w:rFonts w:ascii="仿宋_GB2312" w:eastAsia="仿宋_GB2312" w:hAnsi="宋体" w:cs="Arial" w:hint="eastAsia"/>
          <w:bCs/>
          <w:sz w:val="24"/>
        </w:rPr>
        <w:t>其它投资等资产及负债。</w:t>
      </w:r>
    </w:p>
    <w:p w14:paraId="68FE489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2.估值原则</w:t>
      </w:r>
    </w:p>
    <w:p w14:paraId="45AD9CA8" w14:textId="77777777"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基金管理人在确定相关金融资产和金融负债的公允价值时，应符合《企业会计准则》、监管部门有关规定。</w:t>
      </w:r>
    </w:p>
    <w:p w14:paraId="305FC41B" w14:textId="2D23E02C"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4F308F0" w14:textId="77777777"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AAC3D1" w14:textId="07A134CC"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B8C9BF3" w14:textId="5E12A1FE" w:rsidR="00505116" w:rsidRPr="000E68D0" w:rsidRDefault="00C7307F">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（3）如经济环境发生重大变化或证券发行人发生影响证券价格的重大事件，使潜在估值调整对前一估值日的基金资产净值的影响在0.25%以上的，应对估值进行调整并确定公允价值。</w:t>
      </w:r>
    </w:p>
    <w:p w14:paraId="0C47B3D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3.估值方法</w:t>
      </w:r>
    </w:p>
    <w:p w14:paraId="5958C39F" w14:textId="23E79FC7"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（1）证券交易所上市的有价证券的估值</w:t>
      </w:r>
    </w:p>
    <w:p w14:paraId="3D558FD7" w14:textId="08F45879"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①</w:t>
      </w:r>
      <w:r w:rsidRPr="000E68D0">
        <w:rPr>
          <w:rFonts w:ascii="仿宋_GB2312" w:eastAsia="仿宋_GB2312"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w:t>
      </w:r>
      <w:r w:rsidRPr="000E68D0">
        <w:rPr>
          <w:rFonts w:ascii="仿宋_GB2312" w:eastAsia="仿宋_GB2312" w:hAnsi="宋体" w:cs="Arial" w:hint="eastAsia"/>
          <w:sz w:val="24"/>
        </w:rPr>
        <w:lastRenderedPageBreak/>
        <w:t>格的重大事件的，可参考类似投资品种的现行市价及重大变化因素，调整最近交易市价，确定公允价格；</w:t>
      </w:r>
    </w:p>
    <w:p w14:paraId="167C0639" w14:textId="62CFCE28"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②</w:t>
      </w:r>
      <w:r w:rsidRPr="000E68D0">
        <w:rPr>
          <w:rFonts w:ascii="仿宋_GB2312" w:eastAsia="仿宋_GB2312" w:hAnsi="宋体" w:cs="Arial" w:hint="eastAsia"/>
          <w:sz w:val="24"/>
        </w:rPr>
        <w:t>交易所上市交易或挂牌转让的不含</w:t>
      </w:r>
      <w:proofErr w:type="gramStart"/>
      <w:r w:rsidRPr="000E68D0">
        <w:rPr>
          <w:rFonts w:ascii="仿宋_GB2312" w:eastAsia="仿宋_GB2312" w:hAnsi="宋体" w:cs="Arial" w:hint="eastAsia"/>
          <w:sz w:val="24"/>
        </w:rPr>
        <w:t>权固定</w:t>
      </w:r>
      <w:proofErr w:type="gramEnd"/>
      <w:r w:rsidRPr="000E68D0">
        <w:rPr>
          <w:rFonts w:ascii="仿宋_GB2312" w:eastAsia="仿宋_GB2312" w:hAnsi="宋体" w:cs="Arial" w:hint="eastAsia"/>
          <w:sz w:val="24"/>
        </w:rPr>
        <w:t>收益品种，选取估值日第三方估值机构提供的相应品种当日的估值净价进行估值；</w:t>
      </w:r>
    </w:p>
    <w:p w14:paraId="2F076764" w14:textId="5E5ABD32"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③</w:t>
      </w:r>
      <w:r w:rsidRPr="000E68D0">
        <w:rPr>
          <w:rFonts w:ascii="仿宋_GB2312" w:eastAsia="仿宋_GB2312" w:hAnsi="宋体" w:cs="Arial" w:hint="eastAsia"/>
          <w:sz w:val="24"/>
        </w:rPr>
        <w:t>交易所上市交易或挂牌转让的含</w:t>
      </w:r>
      <w:proofErr w:type="gramStart"/>
      <w:r w:rsidRPr="000E68D0">
        <w:rPr>
          <w:rFonts w:ascii="仿宋_GB2312" w:eastAsia="仿宋_GB2312" w:hAnsi="宋体" w:cs="Arial" w:hint="eastAsia"/>
          <w:sz w:val="24"/>
        </w:rPr>
        <w:t>权固定</w:t>
      </w:r>
      <w:proofErr w:type="gramEnd"/>
      <w:r w:rsidRPr="000E68D0">
        <w:rPr>
          <w:rFonts w:ascii="仿宋_GB2312" w:eastAsia="仿宋_GB2312" w:hAnsi="宋体" w:cs="Arial" w:hint="eastAsia"/>
          <w:sz w:val="24"/>
        </w:rPr>
        <w:t>收益品种，选取估值日第三方估值机构提供的相应品种当日的唯一估值净价或推荐估值净价进行估值；</w:t>
      </w:r>
    </w:p>
    <w:p w14:paraId="4A162106" w14:textId="3A04575B"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④</w:t>
      </w:r>
      <w:r w:rsidRPr="000E68D0">
        <w:rPr>
          <w:rFonts w:ascii="仿宋_GB2312" w:eastAsia="仿宋_GB2312"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DFDB7C6" w14:textId="4E5558C7"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⑤</w:t>
      </w:r>
      <w:r w:rsidRPr="000E68D0">
        <w:rPr>
          <w:rFonts w:ascii="仿宋_GB2312" w:eastAsia="仿宋_GB2312" w:hAnsi="宋体" w:cs="Arial" w:hint="eastAsia"/>
          <w:sz w:val="24"/>
        </w:rPr>
        <w:t>交易所上市不存在活跃市场的有价证券，采用估值技术确定公允价值。交易所市场挂牌转让的资产支持证券，采用估值技术确定公允价值；</w:t>
      </w:r>
    </w:p>
    <w:p w14:paraId="1980038B" w14:textId="61E22D7E"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Microsoft YaHei UI" w:cs="Arial" w:hint="eastAsia"/>
          <w:sz w:val="24"/>
        </w:rPr>
        <w:t>⑥</w:t>
      </w:r>
      <w:r w:rsidRPr="000E68D0">
        <w:rPr>
          <w:rFonts w:ascii="仿宋_GB2312" w:eastAsia="仿宋_GB2312"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F14B274" w14:textId="73EB2652"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w:t>
      </w:r>
      <w:r w:rsidR="00C7307F" w:rsidRPr="000E68D0">
        <w:rPr>
          <w:rFonts w:ascii="仿宋_GB2312" w:eastAsia="仿宋_GB2312" w:hAnsi="宋体" w:cs="Arial" w:hint="eastAsia"/>
          <w:sz w:val="24"/>
        </w:rPr>
        <w:t>处于未上市期间的有价证券应区分如下情况处理：</w:t>
      </w:r>
    </w:p>
    <w:p w14:paraId="380EE681" w14:textId="0C580299"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fldChar w:fldCharType="begin"/>
      </w:r>
      <w:r w:rsidRPr="000E68D0">
        <w:rPr>
          <w:rFonts w:ascii="仿宋_GB2312" w:eastAsia="仿宋_GB2312" w:hAnsi="宋体" w:cs="Arial" w:hint="eastAsia"/>
          <w:sz w:val="24"/>
        </w:rPr>
        <w:instrText xml:space="preserve"> = 1 \* GB3 </w:instrText>
      </w:r>
      <w:r w:rsidRPr="000E68D0">
        <w:rPr>
          <w:rFonts w:ascii="仿宋_GB2312" w:eastAsia="仿宋_GB2312" w:hAnsi="宋体" w:cs="Arial" w:hint="eastAsia"/>
          <w:sz w:val="24"/>
        </w:rPr>
        <w:fldChar w:fldCharType="separate"/>
      </w:r>
      <w:r w:rsidRPr="000E68D0">
        <w:rPr>
          <w:rFonts w:ascii="仿宋_GB2312" w:eastAsia="仿宋_GB2312" w:hAnsi="宋体" w:cs="Arial" w:hint="eastAsia"/>
          <w:noProof/>
          <w:sz w:val="24"/>
        </w:rPr>
        <w:t>①</w:t>
      </w:r>
      <w:r w:rsidRPr="000E68D0">
        <w:rPr>
          <w:rFonts w:ascii="仿宋_GB2312" w:eastAsia="仿宋_GB2312" w:hAnsi="宋体" w:cs="Arial" w:hint="eastAsia"/>
          <w:sz w:val="24"/>
        </w:rPr>
        <w:fldChar w:fldCharType="end"/>
      </w:r>
      <w:r w:rsidR="00C7307F" w:rsidRPr="000E68D0">
        <w:rPr>
          <w:rFonts w:ascii="仿宋_GB2312" w:eastAsia="仿宋_GB2312" w:hAnsi="宋体" w:cs="Arial" w:hint="eastAsia"/>
          <w:sz w:val="24"/>
        </w:rPr>
        <w:t>送股、转增股、配股和公开增发的新股，按估值日在证券交易所挂牌的同一股票的估值方法估值；该日无交易的，以最近一日的市价（收盘价）估值；</w:t>
      </w:r>
    </w:p>
    <w:p w14:paraId="2EADBEF4" w14:textId="128BBEE9"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fldChar w:fldCharType="begin"/>
      </w:r>
      <w:r w:rsidRPr="000E68D0">
        <w:rPr>
          <w:rFonts w:ascii="仿宋_GB2312" w:eastAsia="仿宋_GB2312" w:hAnsi="宋体" w:cs="Arial" w:hint="eastAsia"/>
          <w:sz w:val="24"/>
        </w:rPr>
        <w:instrText xml:space="preserve"> = 2 \* GB3 </w:instrText>
      </w:r>
      <w:r w:rsidRPr="000E68D0">
        <w:rPr>
          <w:rFonts w:ascii="仿宋_GB2312" w:eastAsia="仿宋_GB2312" w:hAnsi="宋体" w:cs="Arial" w:hint="eastAsia"/>
          <w:sz w:val="24"/>
        </w:rPr>
        <w:fldChar w:fldCharType="separate"/>
      </w:r>
      <w:r w:rsidRPr="000E68D0">
        <w:rPr>
          <w:rFonts w:ascii="仿宋_GB2312" w:eastAsia="仿宋_GB2312" w:hAnsi="宋体" w:cs="Arial" w:hint="eastAsia"/>
          <w:noProof/>
          <w:sz w:val="24"/>
        </w:rPr>
        <w:t>②</w:t>
      </w:r>
      <w:r w:rsidRPr="000E68D0">
        <w:rPr>
          <w:rFonts w:ascii="仿宋_GB2312" w:eastAsia="仿宋_GB2312" w:hAnsi="宋体" w:cs="Arial" w:hint="eastAsia"/>
          <w:sz w:val="24"/>
        </w:rPr>
        <w:fldChar w:fldCharType="end"/>
      </w:r>
      <w:r w:rsidR="00C7307F" w:rsidRPr="000E68D0">
        <w:rPr>
          <w:rFonts w:ascii="仿宋_GB2312" w:eastAsia="仿宋_GB2312" w:hAnsi="宋体" w:cs="Arial" w:hint="eastAsia"/>
          <w:sz w:val="24"/>
        </w:rPr>
        <w:t>首次公开发行未上市的股票、债券，采用估值技术确定公允价值，在估值技术难以可靠计量公允价值的情况下，按成本估值；</w:t>
      </w:r>
    </w:p>
    <w:p w14:paraId="025B7F37" w14:textId="442851F8" w:rsidR="00A043E4"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fldChar w:fldCharType="begin"/>
      </w:r>
      <w:r w:rsidRPr="000E68D0">
        <w:rPr>
          <w:rFonts w:ascii="仿宋_GB2312" w:eastAsia="仿宋_GB2312" w:hAnsi="宋体" w:cs="Arial" w:hint="eastAsia"/>
          <w:sz w:val="24"/>
        </w:rPr>
        <w:instrText xml:space="preserve"> = 3 \* GB3 </w:instrText>
      </w:r>
      <w:r w:rsidRPr="000E68D0">
        <w:rPr>
          <w:rFonts w:ascii="仿宋_GB2312" w:eastAsia="仿宋_GB2312" w:hAnsi="宋体" w:cs="Arial" w:hint="eastAsia"/>
          <w:sz w:val="24"/>
        </w:rPr>
        <w:fldChar w:fldCharType="separate"/>
      </w:r>
      <w:r w:rsidRPr="000E68D0">
        <w:rPr>
          <w:rFonts w:ascii="仿宋_GB2312" w:eastAsia="仿宋_GB2312" w:hAnsi="宋体" w:cs="Arial" w:hint="eastAsia"/>
          <w:noProof/>
          <w:sz w:val="24"/>
        </w:rPr>
        <w:t>③</w:t>
      </w:r>
      <w:r w:rsidRPr="000E68D0">
        <w:rPr>
          <w:rFonts w:ascii="仿宋_GB2312" w:eastAsia="仿宋_GB2312" w:hAnsi="宋体" w:cs="Arial" w:hint="eastAsia"/>
          <w:sz w:val="24"/>
        </w:rPr>
        <w:fldChar w:fldCharType="end"/>
      </w:r>
      <w:r w:rsidR="00C7307F" w:rsidRPr="000E68D0">
        <w:rPr>
          <w:rFonts w:ascii="仿宋_GB2312" w:eastAsia="仿宋_GB2312"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C7307F" w:rsidRPr="000E68D0">
        <w:rPr>
          <w:rFonts w:ascii="仿宋_GB2312" w:eastAsia="仿宋_GB2312" w:hAnsi="宋体" w:cs="Arial" w:hint="eastAsia"/>
          <w:sz w:val="24"/>
        </w:rPr>
        <w:t>券</w:t>
      </w:r>
      <w:proofErr w:type="gramEnd"/>
      <w:r w:rsidR="00C7307F" w:rsidRPr="000E68D0">
        <w:rPr>
          <w:rFonts w:ascii="仿宋_GB2312" w:eastAsia="仿宋_GB2312" w:hAnsi="宋体" w:cs="Arial" w:hint="eastAsia"/>
          <w:sz w:val="24"/>
        </w:rPr>
        <w:t>等流通受限股票，按监管机构或行业协会有关规定确定公允价值。</w:t>
      </w:r>
    </w:p>
    <w:p w14:paraId="7B1B02EB" w14:textId="71FE3FD5"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w:t>
      </w:r>
      <w:r w:rsidR="00C7307F" w:rsidRPr="000E68D0">
        <w:rPr>
          <w:rFonts w:ascii="仿宋_GB2312" w:eastAsia="仿宋_GB2312"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w:t>
      </w:r>
      <w:r w:rsidR="00C7307F" w:rsidRPr="000E68D0">
        <w:rPr>
          <w:rFonts w:ascii="仿宋_GB2312" w:eastAsia="仿宋_GB2312" w:hAnsi="宋体" w:cs="Arial" w:hint="eastAsia"/>
          <w:sz w:val="24"/>
        </w:rPr>
        <w:lastRenderedPageBreak/>
        <w:t>估值价格的债券，在发行利率与二级市场利率不存在明显差异，未上市期间市场利率没有发生大的变动的情况下，按成本估值。</w:t>
      </w:r>
    </w:p>
    <w:p w14:paraId="564BF133" w14:textId="3C96EE49"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w:t>
      </w:r>
      <w:r w:rsidR="00C7307F" w:rsidRPr="000E68D0">
        <w:rPr>
          <w:rFonts w:ascii="仿宋_GB2312" w:eastAsia="仿宋_GB2312" w:hAnsi="宋体" w:cs="Arial" w:hint="eastAsia"/>
          <w:sz w:val="24"/>
        </w:rPr>
        <w:t>本基金投资股指期货、国债期货，一般以估值当日结算价进行估值，估值当日无结算价的，且最近交易日后经济环境未发生重大变化的，采用最近交易日结算价估值。</w:t>
      </w:r>
    </w:p>
    <w:p w14:paraId="3A7106DF" w14:textId="48CA8715"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（5）</w:t>
      </w:r>
      <w:r w:rsidR="00C7307F" w:rsidRPr="000E68D0">
        <w:rPr>
          <w:rFonts w:ascii="仿宋_GB2312" w:eastAsia="仿宋_GB2312" w:hAnsi="宋体" w:cs="Arial" w:hint="eastAsia"/>
          <w:sz w:val="24"/>
        </w:rPr>
        <w:t>同一债券/股票同时在两个或两个以上市场交易的，按债券/股票所处的市场分别估值。</w:t>
      </w:r>
    </w:p>
    <w:p w14:paraId="1D216E95" w14:textId="1522EB23"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（6）</w:t>
      </w:r>
      <w:r w:rsidR="00C7307F" w:rsidRPr="000E68D0">
        <w:rPr>
          <w:rFonts w:ascii="仿宋_GB2312" w:eastAsia="仿宋_GB2312" w:hAnsi="宋体" w:cs="Arial" w:hint="eastAsia"/>
          <w:sz w:val="24"/>
        </w:rPr>
        <w:t>本基金参与融资业务，按照相关法律法规和行业协会的相关规定进行估值。</w:t>
      </w:r>
    </w:p>
    <w:p w14:paraId="269C0E3E" w14:textId="40DEAE0C"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（7）</w:t>
      </w:r>
      <w:r w:rsidR="00C7307F" w:rsidRPr="000E68D0">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14:paraId="4BDB1845" w14:textId="32159C81"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（8）</w:t>
      </w:r>
      <w:r w:rsidR="00C7307F" w:rsidRPr="000E68D0">
        <w:rPr>
          <w:rFonts w:ascii="仿宋_GB2312" w:eastAsia="仿宋_GB2312" w:hAnsi="宋体" w:cs="Arial" w:hint="eastAsia"/>
          <w:sz w:val="24"/>
        </w:rPr>
        <w:t>当发生大额申购或赎回情形时，基金管理人可以采用摆动定价机制，以确保基金估值的公平性。</w:t>
      </w:r>
    </w:p>
    <w:p w14:paraId="2F3EEE4D" w14:textId="57E2D547"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（9）</w:t>
      </w:r>
      <w:r w:rsidR="00C7307F" w:rsidRPr="000E68D0">
        <w:rPr>
          <w:rFonts w:ascii="仿宋_GB2312" w:eastAsia="仿宋_GB2312" w:hAnsi="宋体" w:cs="Arial" w:hint="eastAsia"/>
          <w:sz w:val="24"/>
        </w:rPr>
        <w:t>估值计算中涉及港币对人民币汇率的，将依据下列信息提供机构所提供的汇率为基准：当日中国人民银行公布的人民币与港币的中间价。</w:t>
      </w:r>
    </w:p>
    <w:p w14:paraId="7BF686E2" w14:textId="77777777" w:rsidR="007B5D77" w:rsidRPr="000E68D0" w:rsidRDefault="007B5D77" w:rsidP="00E209D3">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C48D4A5" w14:textId="3BA1784C" w:rsidR="00C7307F" w:rsidRPr="000E68D0" w:rsidRDefault="00B142E9" w:rsidP="007B5D7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（10）</w:t>
      </w:r>
      <w:r w:rsidR="00C7307F" w:rsidRPr="000E68D0">
        <w:rPr>
          <w:rFonts w:ascii="仿宋_GB2312" w:eastAsia="仿宋_GB2312" w:hAnsi="宋体" w:cs="Arial" w:hint="eastAsia"/>
          <w:sz w:val="24"/>
        </w:rPr>
        <w:t>本基金投资存托凭证的估值核算，依照国内依法发行上市的股票执行。</w:t>
      </w:r>
    </w:p>
    <w:p w14:paraId="610C51A3" w14:textId="7EBE821E" w:rsidR="00E634C3" w:rsidRPr="000E68D0" w:rsidRDefault="00E634C3" w:rsidP="00E209D3">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（11）本基金投资股票期权，根据相关法律法规以及监管部门的规定估值。</w:t>
      </w:r>
    </w:p>
    <w:p w14:paraId="31127B29" w14:textId="360DAF84" w:rsidR="00C7307F" w:rsidRPr="000E68D0" w:rsidRDefault="00B142E9"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w:t>
      </w:r>
      <w:r w:rsidR="00E634C3" w:rsidRPr="000E68D0">
        <w:rPr>
          <w:rFonts w:ascii="仿宋_GB2312" w:eastAsia="仿宋_GB2312" w:hAnsi="宋体" w:cs="Arial" w:hint="eastAsia"/>
          <w:sz w:val="24"/>
        </w:rPr>
        <w:t>2</w:t>
      </w:r>
      <w:r w:rsidRPr="000E68D0">
        <w:rPr>
          <w:rFonts w:ascii="仿宋_GB2312" w:eastAsia="仿宋_GB2312" w:hAnsi="宋体" w:cs="Arial" w:hint="eastAsia"/>
          <w:sz w:val="24"/>
        </w:rPr>
        <w:t>）</w:t>
      </w:r>
      <w:r w:rsidR="00C7307F" w:rsidRPr="000E68D0">
        <w:rPr>
          <w:rFonts w:ascii="仿宋_GB2312" w:eastAsia="仿宋_GB2312" w:hAnsi="宋体" w:cs="Arial" w:hint="eastAsia"/>
          <w:sz w:val="24"/>
        </w:rPr>
        <w:t>相关法律法规以及监管部门有强制规定的，从其规定。如有新增事项，按国家最新规定估值。</w:t>
      </w:r>
    </w:p>
    <w:p w14:paraId="2D0B96BB" w14:textId="77777777" w:rsidR="00C7307F" w:rsidRPr="000E68D0" w:rsidRDefault="00C7307F" w:rsidP="00C7307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EFF972" w14:textId="64EBD999" w:rsidR="00505116" w:rsidRPr="000E68D0" w:rsidRDefault="00C7307F">
      <w:pPr>
        <w:adjustRightInd w:val="0"/>
        <w:snapToGrid w:val="0"/>
        <w:spacing w:before="240" w:after="240" w:line="276" w:lineRule="auto"/>
        <w:ind w:firstLine="480"/>
        <w:rPr>
          <w:rStyle w:val="read"/>
          <w:rFonts w:ascii="仿宋_GB2312" w:eastAsia="仿宋_GB2312"/>
          <w:sz w:val="24"/>
        </w:rPr>
      </w:pPr>
      <w:r w:rsidRPr="000E68D0">
        <w:rPr>
          <w:rFonts w:ascii="仿宋_GB2312" w:eastAsia="仿宋_GB2312" w:hAnsi="宋体" w:cs="Arial" w:hint="eastAsia"/>
          <w:sz w:val="24"/>
        </w:rPr>
        <w:t>基金管理人担任本基金的会计责任方，负责本基金资产净值计算和基金会计核算。就与本基金有关的会计问题，如经相关各方在平等基础上充分讨论后，仍无法达成一致的意见，</w:t>
      </w:r>
      <w:r w:rsidR="00C341FC" w:rsidRPr="000E68D0">
        <w:rPr>
          <w:rFonts w:ascii="仿宋_GB2312" w:eastAsia="仿宋_GB2312" w:hAnsi="宋体" w:cs="Arial" w:hint="eastAsia"/>
          <w:sz w:val="24"/>
        </w:rPr>
        <w:t>基金管理人向基金托管人出具盖章的书面说明后，</w:t>
      </w:r>
      <w:r w:rsidRPr="000E68D0">
        <w:rPr>
          <w:rFonts w:ascii="仿宋_GB2312" w:eastAsia="仿宋_GB2312" w:hAnsi="宋体" w:cs="Arial" w:hint="eastAsia"/>
          <w:sz w:val="24"/>
        </w:rPr>
        <w:t>按照基金管理人对基金资产净值的计算结果对外予以公布。</w:t>
      </w:r>
    </w:p>
    <w:p w14:paraId="71416F1D" w14:textId="77777777" w:rsidR="00505116" w:rsidRPr="000E68D0" w:rsidRDefault="00690C57">
      <w:pPr>
        <w:adjustRightInd w:val="0"/>
        <w:snapToGrid w:val="0"/>
        <w:spacing w:before="240" w:after="240" w:line="276" w:lineRule="auto"/>
        <w:ind w:firstLineChars="200" w:firstLine="480"/>
        <w:rPr>
          <w:rStyle w:val="read"/>
          <w:rFonts w:ascii="仿宋_GB2312" w:eastAsia="仿宋_GB2312"/>
          <w:sz w:val="24"/>
        </w:rPr>
      </w:pPr>
      <w:r w:rsidRPr="000E68D0">
        <w:rPr>
          <w:rStyle w:val="read"/>
          <w:rFonts w:ascii="仿宋_GB2312" w:eastAsia="仿宋_GB2312" w:hint="eastAsia"/>
          <w:sz w:val="24"/>
        </w:rPr>
        <w:lastRenderedPageBreak/>
        <w:t>（三）基金份额净值错误的处理方式</w:t>
      </w:r>
    </w:p>
    <w:p w14:paraId="7650B088" w14:textId="5B86E180" w:rsidR="00505116" w:rsidRPr="000E68D0" w:rsidRDefault="00690C57" w:rsidP="00B25B93">
      <w:pPr>
        <w:adjustRightInd w:val="0"/>
        <w:snapToGrid w:val="0"/>
        <w:ind w:firstLineChars="200" w:firstLine="480"/>
        <w:rPr>
          <w:rStyle w:val="read"/>
          <w:rFonts w:ascii="仿宋_GB2312" w:eastAsia="仿宋_GB2312"/>
          <w:sz w:val="24"/>
        </w:rPr>
      </w:pPr>
      <w:r w:rsidRPr="000E68D0">
        <w:rPr>
          <w:rStyle w:val="read"/>
          <w:rFonts w:ascii="仿宋_GB2312" w:eastAsia="仿宋_GB2312" w:hint="eastAsia"/>
          <w:sz w:val="24"/>
        </w:rPr>
        <w:t>1.当</w:t>
      </w:r>
      <w:r w:rsidR="008D3CEC" w:rsidRPr="000E68D0">
        <w:rPr>
          <w:rStyle w:val="read"/>
          <w:rFonts w:ascii="仿宋_GB2312" w:eastAsia="仿宋_GB2312" w:hint="eastAsia"/>
          <w:sz w:val="24"/>
        </w:rPr>
        <w:t>任一类别的</w:t>
      </w:r>
      <w:r w:rsidRPr="000E68D0">
        <w:rPr>
          <w:rStyle w:val="read"/>
          <w:rFonts w:ascii="仿宋_GB2312" w:eastAsia="仿宋_GB2312" w:hint="eastAsia"/>
          <w:sz w:val="24"/>
        </w:rPr>
        <w:t>基金份额净值小数点后4位以内(含第4位)发生差错时，视为</w:t>
      </w:r>
      <w:r w:rsidR="002C2FEF" w:rsidRPr="000E68D0">
        <w:rPr>
          <w:rStyle w:val="read"/>
          <w:rFonts w:ascii="仿宋_GB2312" w:eastAsia="仿宋_GB2312" w:hint="eastAsia"/>
          <w:sz w:val="24"/>
        </w:rPr>
        <w:t>该类</w:t>
      </w:r>
      <w:r w:rsidRPr="000E68D0">
        <w:rPr>
          <w:rStyle w:val="read"/>
          <w:rFonts w:ascii="仿宋_GB2312" w:eastAsia="仿宋_GB2312" w:hint="eastAsia"/>
          <w:sz w:val="24"/>
        </w:rPr>
        <w:t>基金份额净值错误；基金份额净值出现错误时，基金管理人应当立即予以纠正，</w:t>
      </w:r>
      <w:r w:rsidR="00B95AEC" w:rsidRPr="000E68D0">
        <w:rPr>
          <w:rStyle w:val="read"/>
          <w:rFonts w:ascii="仿宋_GB2312" w:eastAsia="仿宋_GB2312" w:hint="eastAsia"/>
          <w:sz w:val="24"/>
        </w:rPr>
        <w:t>通报基金托管人，</w:t>
      </w:r>
      <w:r w:rsidRPr="000E68D0">
        <w:rPr>
          <w:rStyle w:val="read"/>
          <w:rFonts w:ascii="仿宋_GB2312" w:eastAsia="仿宋_GB2312" w:hint="eastAsia"/>
          <w:sz w:val="24"/>
        </w:rPr>
        <w:t>并采取合理的措施防止损失进一步扩大；错误偏差达到</w:t>
      </w:r>
      <w:r w:rsidR="002C2FEF" w:rsidRPr="000E68D0">
        <w:rPr>
          <w:rStyle w:val="read"/>
          <w:rFonts w:ascii="仿宋_GB2312" w:eastAsia="仿宋_GB2312" w:hint="eastAsia"/>
          <w:sz w:val="24"/>
        </w:rPr>
        <w:t>该类</w:t>
      </w:r>
      <w:r w:rsidRPr="000E68D0">
        <w:rPr>
          <w:rStyle w:val="read"/>
          <w:rFonts w:ascii="仿宋_GB2312" w:eastAsia="仿宋_GB2312" w:hint="eastAsia"/>
          <w:sz w:val="24"/>
        </w:rPr>
        <w:t>基金份额净值的0.25%时，基金管理人应当通报基金托管人并报中国证监会备案</w:t>
      </w:r>
      <w:r w:rsidRPr="000E68D0">
        <w:rPr>
          <w:rFonts w:ascii="仿宋_GB2312" w:eastAsia="仿宋_GB2312" w:cs="Arial" w:hint="eastAsia"/>
          <w:sz w:val="24"/>
        </w:rPr>
        <w:t>；错误偏差达到</w:t>
      </w:r>
      <w:r w:rsidR="002C2FEF" w:rsidRPr="000E68D0">
        <w:rPr>
          <w:rFonts w:ascii="仿宋_GB2312" w:eastAsia="仿宋_GB2312" w:cs="Arial" w:hint="eastAsia"/>
          <w:sz w:val="24"/>
        </w:rPr>
        <w:t>该类</w:t>
      </w:r>
      <w:r w:rsidRPr="000E68D0">
        <w:rPr>
          <w:rFonts w:ascii="仿宋_GB2312" w:eastAsia="仿宋_GB2312" w:cs="Arial" w:hint="eastAsia"/>
          <w:sz w:val="24"/>
        </w:rPr>
        <w:t>基金份额净值的</w:t>
      </w:r>
      <w:r w:rsidRPr="000E68D0">
        <w:rPr>
          <w:rFonts w:ascii="仿宋_GB2312" w:eastAsia="仿宋_GB2312" w:hAnsi="宋体" w:hint="eastAsia"/>
          <w:sz w:val="24"/>
        </w:rPr>
        <w:t>0.5%时，基金管理人应当公告，</w:t>
      </w:r>
      <w:r w:rsidR="00212010" w:rsidRPr="000E68D0">
        <w:rPr>
          <w:rFonts w:ascii="仿宋_GB2312" w:eastAsia="仿宋_GB2312" w:hAnsi="宋体" w:hint="eastAsia"/>
          <w:sz w:val="24"/>
        </w:rPr>
        <w:t>通报基金托管人</w:t>
      </w:r>
      <w:r w:rsidRPr="000E68D0">
        <w:rPr>
          <w:rFonts w:ascii="仿宋_GB2312" w:eastAsia="仿宋_GB2312" w:hAnsi="宋体" w:hint="eastAsia"/>
          <w:sz w:val="24"/>
        </w:rPr>
        <w:t>并报中国证监会备案</w:t>
      </w:r>
      <w:r w:rsidRPr="000E68D0">
        <w:rPr>
          <w:rStyle w:val="read"/>
          <w:rFonts w:ascii="仿宋_GB2312" w:eastAsia="仿宋_GB2312" w:hint="eastAsia"/>
          <w:sz w:val="24"/>
        </w:rPr>
        <w:t>。</w:t>
      </w:r>
      <w:r w:rsidR="00B95AEC" w:rsidRPr="000E68D0">
        <w:rPr>
          <w:rStyle w:val="read"/>
          <w:rFonts w:ascii="仿宋_GB2312" w:eastAsia="仿宋_GB2312" w:hint="eastAsia"/>
          <w:sz w:val="24"/>
        </w:rPr>
        <w:t>当发生净值计算错误时，由基金管理人负责处理，由此给基金份额持有人和基金造成损失的，应由基金管理人先行赔付，基金管理人按差错情形，有权向其他当事人追偿。</w:t>
      </w:r>
    </w:p>
    <w:p w14:paraId="10913B22" w14:textId="77777777" w:rsidR="00505116" w:rsidRPr="000E68D0" w:rsidRDefault="00690C57">
      <w:pPr>
        <w:adjustRightInd w:val="0"/>
        <w:snapToGrid w:val="0"/>
        <w:spacing w:before="240" w:after="240" w:line="276" w:lineRule="auto"/>
        <w:ind w:firstLineChars="200" w:firstLine="480"/>
        <w:rPr>
          <w:rStyle w:val="read"/>
          <w:rFonts w:ascii="仿宋_GB2312" w:eastAsia="仿宋_GB2312"/>
          <w:sz w:val="24"/>
        </w:rPr>
      </w:pPr>
      <w:r w:rsidRPr="000E68D0">
        <w:rPr>
          <w:rStyle w:val="read"/>
          <w:rFonts w:ascii="仿宋_GB2312" w:eastAsia="仿宋_GB2312" w:hint="eastAsia"/>
          <w:sz w:val="24"/>
        </w:rPr>
        <w:t>2.当基金份额净值计算差错给基金和基金份额持有人造成损失需要进行赔偿时，基金管理人和基金托管人应根据实际情况界定双方承担的责任，经确认后按以下条款进行赔偿：</w:t>
      </w:r>
    </w:p>
    <w:p w14:paraId="2E964638" w14:textId="3BC3B423"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Style w:val="read"/>
          <w:rFonts w:ascii="仿宋_GB2312" w:eastAsia="仿宋_GB2312"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E68D0">
        <w:rPr>
          <w:rFonts w:ascii="仿宋_GB2312" w:eastAsia="仿宋_GB2312" w:hAnsi="宋体" w:cs="Arial" w:hint="eastAsia"/>
          <w:sz w:val="24"/>
        </w:rPr>
        <w:t>损失，由基金管理人负责赔付。</w:t>
      </w:r>
    </w:p>
    <w:p w14:paraId="56109507" w14:textId="279A8E84"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w:t>
      </w:r>
      <w:proofErr w:type="gramStart"/>
      <w:r w:rsidRPr="000E68D0">
        <w:rPr>
          <w:rFonts w:ascii="仿宋_GB2312" w:eastAsia="仿宋_GB2312" w:hint="eastAsia"/>
          <w:kern w:val="0"/>
          <w:sz w:val="24"/>
        </w:rPr>
        <w:t>若基金</w:t>
      </w:r>
      <w:proofErr w:type="gramEnd"/>
      <w:r w:rsidRPr="000E68D0">
        <w:rPr>
          <w:rFonts w:ascii="仿宋_GB2312" w:eastAsia="仿宋_GB2312" w:hint="eastAsia"/>
          <w:kern w:val="0"/>
          <w:sz w:val="24"/>
        </w:rPr>
        <w:t>管理人计算的</w:t>
      </w:r>
      <w:r w:rsidR="00596EF6" w:rsidRPr="000E68D0">
        <w:rPr>
          <w:rFonts w:ascii="仿宋_GB2312" w:eastAsia="仿宋_GB2312" w:hint="eastAsia"/>
          <w:kern w:val="0"/>
          <w:sz w:val="24"/>
        </w:rPr>
        <w:t>各类</w:t>
      </w:r>
      <w:r w:rsidRPr="000E68D0">
        <w:rPr>
          <w:rFonts w:ascii="仿宋_GB2312" w:eastAsia="仿宋_GB2312"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553220B5" w14:textId="6D6F4B2F"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(3)如基金管理人和基金托管人对</w:t>
      </w:r>
      <w:r w:rsidR="00596EF6" w:rsidRPr="000E68D0">
        <w:rPr>
          <w:rFonts w:ascii="仿宋_GB2312" w:eastAsia="仿宋_GB2312" w:hint="eastAsia"/>
          <w:kern w:val="0"/>
          <w:sz w:val="24"/>
        </w:rPr>
        <w:t>各类</w:t>
      </w:r>
      <w:r w:rsidRPr="000E68D0">
        <w:rPr>
          <w:rFonts w:ascii="仿宋_GB2312" w:eastAsia="仿宋_GB2312" w:hAnsi="宋体" w:cs="Arial" w:hint="eastAsia"/>
          <w:sz w:val="24"/>
        </w:rPr>
        <w:t>基金份额净值的计算结果，虽然多次重新计算和核对，尚不能达成一致时，为避免不能按时公布</w:t>
      </w:r>
      <w:r w:rsidR="00596EF6" w:rsidRPr="000E68D0">
        <w:rPr>
          <w:rFonts w:ascii="仿宋_GB2312" w:eastAsia="仿宋_GB2312" w:hint="eastAsia"/>
          <w:kern w:val="0"/>
          <w:sz w:val="24"/>
        </w:rPr>
        <w:t>各类</w:t>
      </w:r>
      <w:r w:rsidRPr="000E68D0">
        <w:rPr>
          <w:rFonts w:ascii="仿宋_GB2312" w:eastAsia="仿宋_GB2312" w:hAnsi="宋体" w:cs="Arial" w:hint="eastAsia"/>
          <w:sz w:val="24"/>
        </w:rPr>
        <w:t>基金份额净值的情形，以基金管理人的计算结果对外公布</w:t>
      </w:r>
      <w:r w:rsidR="002B4123" w:rsidRPr="000E68D0">
        <w:rPr>
          <w:rFonts w:ascii="仿宋_GB2312" w:eastAsia="仿宋_GB2312" w:hAnsi="宋体" w:cs="Arial" w:hint="eastAsia"/>
          <w:sz w:val="24"/>
        </w:rPr>
        <w:t>，</w:t>
      </w:r>
      <w:r w:rsidRPr="000E68D0">
        <w:rPr>
          <w:rFonts w:ascii="仿宋_GB2312" w:eastAsia="仿宋_GB2312" w:hAnsi="宋体" w:cs="Arial" w:hint="eastAsia"/>
          <w:sz w:val="24"/>
        </w:rPr>
        <w:t>由此给基金份额持有人和基金造成的损失，由基金管理人负责赔付。</w:t>
      </w:r>
    </w:p>
    <w:p w14:paraId="7F1DA08F" w14:textId="224FC884"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w:t>
      </w:r>
      <w:r w:rsidRPr="000E68D0">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EA581D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3.特殊情况的处理</w:t>
      </w:r>
    </w:p>
    <w:p w14:paraId="1E73D52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（1）基金管理人或基金托管人按基金合同和托管协议约定的估值方法进行估值时，所造成的误差不作为基金资产估值错误处理；</w:t>
      </w:r>
    </w:p>
    <w:p w14:paraId="5CC3FE4C" w14:textId="29FB3AD9"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（2）由于不可抗力原因，或由于证券、期货交易所，或第三方估值机构，或证券登记结算机构等发送的数据错误，或国家会计政策、市场规则变更等</w:t>
      </w:r>
      <w:proofErr w:type="gramStart"/>
      <w:r w:rsidRPr="000E68D0">
        <w:rPr>
          <w:rFonts w:ascii="仿宋_GB2312" w:eastAsia="仿宋_GB2312" w:hAnsi="宋体" w:cs="Arial" w:hint="eastAsia"/>
          <w:sz w:val="24"/>
        </w:rPr>
        <w:t>非基金</w:t>
      </w:r>
      <w:proofErr w:type="gramEnd"/>
      <w:r w:rsidRPr="000E68D0">
        <w:rPr>
          <w:rFonts w:ascii="仿宋_GB2312" w:eastAsia="仿宋_GB2312" w:hAnsi="宋体" w:cs="Arial" w:hint="eastAsia"/>
          <w:sz w:val="24"/>
        </w:rPr>
        <w:t>管理人或基金托管人原因，基金管理人和基金托管人虽然已经采取必要、适当、合理的措施进行检查，仍未能发现错误的，由此造成的基金资产估值错误，基金管理人</w:t>
      </w:r>
      <w:r w:rsidRPr="000E68D0">
        <w:rPr>
          <w:rFonts w:ascii="仿宋_GB2312" w:eastAsia="仿宋_GB2312" w:hAnsi="宋体" w:cs="Arial" w:hint="eastAsia"/>
          <w:sz w:val="24"/>
        </w:rPr>
        <w:lastRenderedPageBreak/>
        <w:t>和基金托管人免除赔偿责任，但基金管理人、基金托管人应当积极采取必要的措施减轻或消除由此造成的影响。</w:t>
      </w:r>
    </w:p>
    <w:p w14:paraId="65FF82F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4.基金管理人和基金托管人由于各自技术系统设置而产生的净值计算尾差，以基金管理人计算结果为准。</w:t>
      </w:r>
    </w:p>
    <w:p w14:paraId="1651653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5.前述内容如法律法规或者监管部门另有规定的，从其规定。</w:t>
      </w:r>
      <w:r w:rsidR="00BE5FA4" w:rsidRPr="000E68D0">
        <w:rPr>
          <w:rFonts w:ascii="仿宋_GB2312" w:eastAsia="仿宋_GB2312" w:hAnsi="宋体" w:cs="Arial" w:hint="eastAsia"/>
          <w:sz w:val="24"/>
        </w:rPr>
        <w:t>如果行业另有通行做法，双方当事人应本着平等和保护基金份额持有人利益的原则进行协商。</w:t>
      </w:r>
    </w:p>
    <w:p w14:paraId="4BA52DD3"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（四）暂停估值与公告基金份额净值的情形</w:t>
      </w:r>
    </w:p>
    <w:p w14:paraId="1ADBC3A2" w14:textId="70B5FCA0"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1.基金投资所涉及的证券、期货交易市场</w:t>
      </w:r>
      <w:r w:rsidR="009E734D" w:rsidRPr="000E68D0">
        <w:rPr>
          <w:rFonts w:ascii="仿宋_GB2312" w:eastAsia="仿宋_GB2312" w:hAnsi="宋体" w:cs="Arial" w:hint="eastAsia"/>
          <w:sz w:val="24"/>
        </w:rPr>
        <w:t>、外汇市场</w:t>
      </w:r>
      <w:r w:rsidRPr="000E68D0">
        <w:rPr>
          <w:rFonts w:ascii="仿宋_GB2312" w:eastAsia="仿宋_GB2312" w:hAnsi="宋体" w:cs="Arial" w:hint="eastAsia"/>
          <w:sz w:val="24"/>
        </w:rPr>
        <w:t>遇法定节假日或因其他原因暂停营业时；</w:t>
      </w:r>
    </w:p>
    <w:p w14:paraId="7BECD85E"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2.因不可抗力致使基金管理人、基金托管人无法准确评估基金资产价值时；</w:t>
      </w:r>
    </w:p>
    <w:p w14:paraId="48358908"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3.</w:t>
      </w:r>
      <w:r w:rsidR="00296502" w:rsidRPr="000E68D0">
        <w:rPr>
          <w:rFonts w:ascii="仿宋_GB2312" w:eastAsia="仿宋_GB2312" w:hAnsi="宋体" w:cs="Arial" w:hint="eastAsia"/>
          <w:sz w:val="24"/>
        </w:rPr>
        <w:t>当特定资产占前一估值日基金资产净值50%以上的，经与基金托管人协商确认后，基金管理人应当暂停估值；</w:t>
      </w:r>
    </w:p>
    <w:p w14:paraId="48D6CD8D" w14:textId="358CF332"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4.</w:t>
      </w:r>
      <w:r w:rsidR="001B6C57" w:rsidRPr="000E68D0">
        <w:rPr>
          <w:rFonts w:ascii="仿宋_GB2312" w:eastAsia="仿宋_GB2312" w:hint="eastAsia"/>
        </w:rPr>
        <w:t xml:space="preserve"> </w:t>
      </w:r>
      <w:r w:rsidR="001B6C57" w:rsidRPr="000E68D0">
        <w:rPr>
          <w:rFonts w:ascii="仿宋_GB2312" w:eastAsia="仿宋_GB2312" w:hAnsi="宋体" w:cs="Arial" w:hint="eastAsia"/>
          <w:sz w:val="24"/>
        </w:rPr>
        <w:t>法律法规规定、</w:t>
      </w:r>
      <w:r w:rsidRPr="000E68D0">
        <w:rPr>
          <w:rFonts w:ascii="仿宋_GB2312" w:eastAsia="仿宋_GB2312" w:hAnsi="宋体" w:cs="Arial" w:hint="eastAsia"/>
          <w:sz w:val="24"/>
        </w:rPr>
        <w:t>中国证监会和《基金合同》认定的其他情形。</w:t>
      </w:r>
    </w:p>
    <w:p w14:paraId="7398654C"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（五）基金会计制度</w:t>
      </w:r>
    </w:p>
    <w:p w14:paraId="387314F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按国家有关部门规定的会计制度执行。</w:t>
      </w:r>
    </w:p>
    <w:p w14:paraId="31F8010D"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（六）基金账册的建立</w:t>
      </w:r>
    </w:p>
    <w:p w14:paraId="124D27D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基金管理人进行基金会计核算并编制基金财务会计报告。基金管理人</w:t>
      </w:r>
      <w:r w:rsidR="00866C32" w:rsidRPr="000E68D0">
        <w:rPr>
          <w:rFonts w:ascii="仿宋_GB2312" w:eastAsia="仿宋_GB2312" w:hAnsi="宋体" w:cs="Arial" w:hint="eastAsia"/>
          <w:sz w:val="24"/>
        </w:rPr>
        <w:t>和基金托管人应分别</w:t>
      </w:r>
      <w:r w:rsidRPr="000E68D0">
        <w:rPr>
          <w:rFonts w:ascii="仿宋_GB2312" w:eastAsia="仿宋_GB2312" w:hAnsi="宋体" w:cs="Arial" w:hint="eastAsia"/>
          <w:sz w:val="24"/>
        </w:rPr>
        <w:t>独立地设置、记录和保管本基金的全套账册。</w:t>
      </w:r>
      <w:proofErr w:type="gramStart"/>
      <w:r w:rsidRPr="000E68D0">
        <w:rPr>
          <w:rFonts w:ascii="仿宋_GB2312" w:eastAsia="仿宋_GB2312" w:hAnsi="宋体" w:cs="Arial" w:hint="eastAsia"/>
          <w:sz w:val="24"/>
        </w:rPr>
        <w:t>若基金</w:t>
      </w:r>
      <w:proofErr w:type="gramEnd"/>
      <w:r w:rsidRPr="000E68D0">
        <w:rPr>
          <w:rFonts w:ascii="仿宋_GB2312" w:eastAsia="仿宋_GB2312"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34FE2DF6"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（七）基金财务报表与报告的编制和复核</w:t>
      </w:r>
    </w:p>
    <w:p w14:paraId="1635FB7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1.财务报表的编制</w:t>
      </w:r>
    </w:p>
    <w:p w14:paraId="2FFC56C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基金财务报表由基金管理人编制，基金托管人复核。</w:t>
      </w:r>
    </w:p>
    <w:p w14:paraId="7E98D3C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2.报表复核</w:t>
      </w:r>
    </w:p>
    <w:p w14:paraId="48012C7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14:paraId="7013D3D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3.财务报表的编制与复核时间安排</w:t>
      </w:r>
    </w:p>
    <w:p w14:paraId="43B25CD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(1)报表的编制</w:t>
      </w:r>
    </w:p>
    <w:p w14:paraId="2CA12CA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《基金合同》生效后，基金招募说明书的信息发生重大变更的，基金管理人应当在三个工作日内，更新基金招募说明书并登载在</w:t>
      </w:r>
      <w:r w:rsidR="0084425E" w:rsidRPr="000E68D0">
        <w:rPr>
          <w:rFonts w:ascii="仿宋_GB2312" w:eastAsia="仿宋_GB2312" w:hAnsi="宋体" w:cs="Arial" w:hint="eastAsia"/>
          <w:sz w:val="24"/>
        </w:rPr>
        <w:t>规</w:t>
      </w:r>
      <w:r w:rsidRPr="000E68D0">
        <w:rPr>
          <w:rFonts w:ascii="仿宋_GB2312" w:eastAsia="仿宋_GB2312" w:hAnsi="宋体" w:cs="Arial" w:hint="eastAsia"/>
          <w:sz w:val="24"/>
        </w:rPr>
        <w:t>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基金年度报告中的财务会计报告应当经过</w:t>
      </w:r>
      <w:r w:rsidR="008E20CF" w:rsidRPr="000E68D0">
        <w:rPr>
          <w:rFonts w:ascii="仿宋_GB2312" w:eastAsia="仿宋_GB2312" w:hAnsi="宋体" w:cs="Arial" w:hint="eastAsia"/>
          <w:sz w:val="24"/>
        </w:rPr>
        <w:t>符合《中华人民共和国证券法》规定</w:t>
      </w:r>
      <w:r w:rsidRPr="000E68D0">
        <w:rPr>
          <w:rFonts w:ascii="仿宋_GB2312" w:eastAsia="仿宋_GB2312" w:hAnsi="宋体" w:cs="Arial" w:hint="eastAsia"/>
          <w:sz w:val="24"/>
        </w:rPr>
        <w:t>的会计师事务所审计。《基金合同》生效不足两个月的，基金管理人可以不编制当期季度报告、中期报告或者年度报告。</w:t>
      </w:r>
    </w:p>
    <w:p w14:paraId="3E3BD100" w14:textId="1BD71410" w:rsidR="00505116" w:rsidRPr="000E68D0" w:rsidRDefault="00690C57">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(2)报表的复核</w:t>
      </w:r>
    </w:p>
    <w:p w14:paraId="17CDB2E9" w14:textId="77777777" w:rsidR="00505116" w:rsidRPr="000E68D0" w:rsidRDefault="00690C57">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9555A2E" w14:textId="77777777" w:rsidR="00505116" w:rsidRPr="000E68D0" w:rsidRDefault="00690C57">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基金管理人应留足充分的时间，便于基金托管人复核相关报表及报告。</w:t>
      </w:r>
    </w:p>
    <w:p w14:paraId="6A715FC4" w14:textId="77777777" w:rsidR="00866C32" w:rsidRPr="000E68D0" w:rsidRDefault="00690C57" w:rsidP="00866C32">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（八）基金管理人应在编制季度报告、中期报告或者年度报告之前及时向基金托管人提供基金业绩比较基准的基础数据和编制结果。</w:t>
      </w:r>
    </w:p>
    <w:p w14:paraId="7FDC5AFE" w14:textId="77777777" w:rsidR="00212010" w:rsidRPr="000E68D0" w:rsidRDefault="00BE5FA4" w:rsidP="00212010">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（九）</w:t>
      </w:r>
      <w:r w:rsidR="00212010" w:rsidRPr="000E68D0">
        <w:rPr>
          <w:rFonts w:ascii="仿宋_GB2312" w:eastAsia="仿宋_GB2312" w:hAnsi="宋体" w:cs="Arial" w:hint="eastAsia"/>
          <w:sz w:val="24"/>
        </w:rPr>
        <w:t>实施</w:t>
      </w:r>
      <w:proofErr w:type="gramStart"/>
      <w:r w:rsidR="00212010" w:rsidRPr="000E68D0">
        <w:rPr>
          <w:rFonts w:ascii="仿宋_GB2312" w:eastAsia="仿宋_GB2312" w:hAnsi="宋体" w:cs="Arial" w:hint="eastAsia"/>
          <w:sz w:val="24"/>
        </w:rPr>
        <w:t>侧袋机制</w:t>
      </w:r>
      <w:proofErr w:type="gramEnd"/>
      <w:r w:rsidR="00212010" w:rsidRPr="000E68D0">
        <w:rPr>
          <w:rFonts w:ascii="仿宋_GB2312" w:eastAsia="仿宋_GB2312" w:hAnsi="宋体" w:cs="Arial" w:hint="eastAsia"/>
          <w:sz w:val="24"/>
        </w:rPr>
        <w:t>期间的基金资产估值</w:t>
      </w:r>
    </w:p>
    <w:p w14:paraId="1A73BFDE" w14:textId="5CD432B2" w:rsidR="00BE5FA4" w:rsidRPr="000E68D0" w:rsidRDefault="00BE5FA4" w:rsidP="00BE5FA4">
      <w:pPr>
        <w:pStyle w:val="a0"/>
        <w:adjustRightInd w:val="0"/>
        <w:snapToGrid w:val="0"/>
        <w:spacing w:before="240" w:after="240" w:line="276" w:lineRule="auto"/>
        <w:ind w:firstLine="480"/>
        <w:rPr>
          <w:rFonts w:ascii="仿宋_GB2312" w:eastAsia="仿宋_GB2312" w:hAnsi="宋体" w:cs="Arial"/>
          <w:sz w:val="24"/>
        </w:rPr>
      </w:pPr>
      <w:r w:rsidRPr="000E68D0">
        <w:rPr>
          <w:rFonts w:ascii="仿宋_GB2312" w:eastAsia="仿宋_GB2312" w:hAnsi="宋体" w:cs="Arial" w:hint="eastAsia"/>
          <w:sz w:val="24"/>
        </w:rPr>
        <w:t>本基金实施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的，应根据本部分的约定</w:t>
      </w:r>
      <w:proofErr w:type="gramStart"/>
      <w:r w:rsidRPr="000E68D0">
        <w:rPr>
          <w:rFonts w:ascii="仿宋_GB2312" w:eastAsia="仿宋_GB2312" w:hAnsi="宋体" w:cs="Arial" w:hint="eastAsia"/>
          <w:sz w:val="24"/>
        </w:rPr>
        <w:t>对主袋账户</w:t>
      </w:r>
      <w:proofErr w:type="gramEnd"/>
      <w:r w:rsidRPr="000E68D0">
        <w:rPr>
          <w:rFonts w:ascii="仿宋_GB2312" w:eastAsia="仿宋_GB2312" w:hAnsi="宋体" w:cs="Arial" w:hint="eastAsia"/>
          <w:sz w:val="24"/>
        </w:rPr>
        <w:t>资产进行估值并</w:t>
      </w:r>
      <w:proofErr w:type="gramStart"/>
      <w:r w:rsidRPr="000E68D0">
        <w:rPr>
          <w:rFonts w:ascii="仿宋_GB2312" w:eastAsia="仿宋_GB2312" w:hAnsi="宋体" w:cs="Arial" w:hint="eastAsia"/>
          <w:sz w:val="24"/>
        </w:rPr>
        <w:t>披露主袋账户</w:t>
      </w:r>
      <w:proofErr w:type="gramEnd"/>
      <w:r w:rsidRPr="000E68D0">
        <w:rPr>
          <w:rFonts w:ascii="仿宋_GB2312" w:eastAsia="仿宋_GB2312" w:hAnsi="宋体" w:cs="Arial" w:hint="eastAsia"/>
          <w:sz w:val="24"/>
        </w:rPr>
        <w:t>的基金净值信息，暂停</w:t>
      </w:r>
      <w:proofErr w:type="gramStart"/>
      <w:r w:rsidRPr="000E68D0">
        <w:rPr>
          <w:rFonts w:ascii="仿宋_GB2312" w:eastAsia="仿宋_GB2312" w:hAnsi="宋体" w:cs="Arial" w:hint="eastAsia"/>
          <w:sz w:val="24"/>
        </w:rPr>
        <w:t>披露侧袋账户</w:t>
      </w:r>
      <w:proofErr w:type="gramEnd"/>
      <w:r w:rsidR="005405DF" w:rsidRPr="000E68D0">
        <w:rPr>
          <w:rFonts w:ascii="仿宋_GB2312" w:eastAsia="仿宋_GB2312" w:hAnsi="宋体" w:cs="Arial" w:hint="eastAsia"/>
          <w:sz w:val="24"/>
        </w:rPr>
        <w:t>份额净值</w:t>
      </w:r>
      <w:r w:rsidRPr="000E68D0">
        <w:rPr>
          <w:rFonts w:ascii="仿宋_GB2312" w:eastAsia="仿宋_GB2312" w:hAnsi="宋体" w:cs="Arial" w:hint="eastAsia"/>
          <w:sz w:val="24"/>
        </w:rPr>
        <w:t>。</w:t>
      </w:r>
    </w:p>
    <w:p w14:paraId="65945D12" w14:textId="77777777" w:rsidR="00505116" w:rsidRPr="000E68D0" w:rsidRDefault="00505116">
      <w:pPr>
        <w:pStyle w:val="a0"/>
        <w:adjustRightInd w:val="0"/>
        <w:snapToGrid w:val="0"/>
        <w:spacing w:before="240" w:after="240" w:line="276" w:lineRule="auto"/>
        <w:ind w:firstLineChars="0" w:firstLine="0"/>
        <w:rPr>
          <w:rFonts w:ascii="仿宋_GB2312" w:eastAsia="仿宋_GB2312" w:hAnsi="宋体" w:cs="Arial"/>
          <w:sz w:val="24"/>
        </w:rPr>
      </w:pPr>
    </w:p>
    <w:p w14:paraId="07C368F0" w14:textId="77777777" w:rsidR="00505116" w:rsidRPr="000E68D0" w:rsidRDefault="00690C57">
      <w:pPr>
        <w:pStyle w:val="2"/>
        <w:spacing w:before="240" w:after="240" w:line="276" w:lineRule="auto"/>
        <w:jc w:val="center"/>
        <w:rPr>
          <w:rFonts w:ascii="仿宋_GB2312" w:eastAsia="仿宋_GB2312"/>
          <w:sz w:val="30"/>
        </w:rPr>
      </w:pPr>
      <w:bookmarkStart w:id="87" w:name="_Toc151104997"/>
      <w:r w:rsidRPr="000E68D0">
        <w:rPr>
          <w:rFonts w:ascii="仿宋_GB2312" w:eastAsia="仿宋_GB2312" w:hint="eastAsia"/>
          <w:sz w:val="30"/>
        </w:rPr>
        <w:t>九、基金收益分配</w:t>
      </w:r>
      <w:bookmarkEnd w:id="87"/>
    </w:p>
    <w:p w14:paraId="6E9D7A2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基金收益分配是指按规定将基金的可分配收益按基金份额进行比例分配。</w:t>
      </w:r>
    </w:p>
    <w:p w14:paraId="2A642880"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（一）基金收益分配的原则</w:t>
      </w:r>
    </w:p>
    <w:p w14:paraId="5F72739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基金收益分配应遵循下列原则：</w:t>
      </w:r>
    </w:p>
    <w:p w14:paraId="524434BC" w14:textId="07326A95" w:rsidR="00AC670B" w:rsidRPr="000E68D0" w:rsidRDefault="00690C57" w:rsidP="00AC670B">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w:t>
      </w:r>
      <w:r w:rsidR="00680CB8" w:rsidRPr="000E68D0">
        <w:rPr>
          <w:rFonts w:ascii="仿宋_GB2312" w:eastAsia="仿宋_GB2312" w:hAnsi="宋体" w:cs="Arial" w:hint="eastAsia"/>
          <w:bCs/>
          <w:sz w:val="24"/>
        </w:rPr>
        <w:t>.</w:t>
      </w:r>
      <w:r w:rsidRPr="000E68D0">
        <w:rPr>
          <w:rFonts w:ascii="仿宋_GB2312" w:eastAsia="仿宋_GB2312" w:hAnsi="宋体" w:cs="Arial" w:hint="eastAsia"/>
          <w:bCs/>
          <w:sz w:val="24"/>
        </w:rPr>
        <w:t>在符合有关基金分红条件的前提下，</w:t>
      </w:r>
      <w:r w:rsidR="00680CB8" w:rsidRPr="000E68D0">
        <w:rPr>
          <w:rFonts w:ascii="仿宋_GB2312" w:eastAsia="仿宋_GB2312" w:hAnsi="宋体" w:cs="Arial" w:hint="eastAsia"/>
          <w:bCs/>
          <w:sz w:val="24"/>
        </w:rPr>
        <w:t>基金管理人可以根据实际情况进行收益分配，具体分配方案以公告为准，</w:t>
      </w:r>
      <w:r w:rsidRPr="000E68D0">
        <w:rPr>
          <w:rFonts w:ascii="仿宋_GB2312" w:eastAsia="仿宋_GB2312" w:hAnsi="宋体" w:cs="Arial" w:hint="eastAsia"/>
          <w:bCs/>
          <w:sz w:val="24"/>
        </w:rPr>
        <w:t>若</w:t>
      </w:r>
      <w:r w:rsidR="00680CB8" w:rsidRPr="000E68D0">
        <w:rPr>
          <w:rFonts w:ascii="仿宋_GB2312" w:eastAsia="仿宋_GB2312" w:hAnsi="宋体" w:cs="Arial" w:hint="eastAsia"/>
          <w:bCs/>
          <w:sz w:val="24"/>
        </w:rPr>
        <w:t>《</w:t>
      </w:r>
      <w:r w:rsidRPr="000E68D0">
        <w:rPr>
          <w:rFonts w:ascii="仿宋_GB2312" w:eastAsia="仿宋_GB2312" w:hAnsi="宋体" w:cs="Arial" w:hint="eastAsia"/>
          <w:bCs/>
          <w:sz w:val="24"/>
        </w:rPr>
        <w:t>基金合同</w:t>
      </w:r>
      <w:r w:rsidR="00680CB8" w:rsidRPr="000E68D0">
        <w:rPr>
          <w:rFonts w:ascii="仿宋_GB2312" w:eastAsia="仿宋_GB2312" w:hAnsi="宋体" w:cs="Arial" w:hint="eastAsia"/>
          <w:bCs/>
          <w:sz w:val="24"/>
        </w:rPr>
        <w:t>》</w:t>
      </w:r>
      <w:r w:rsidRPr="000E68D0">
        <w:rPr>
          <w:rFonts w:ascii="仿宋_GB2312" w:eastAsia="仿宋_GB2312" w:hAnsi="宋体" w:cs="Arial" w:hint="eastAsia"/>
          <w:bCs/>
          <w:sz w:val="24"/>
        </w:rPr>
        <w:t>生效不满3个月可不进行收益分配；</w:t>
      </w:r>
    </w:p>
    <w:p w14:paraId="55A2462B" w14:textId="420D48C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lastRenderedPageBreak/>
        <w:t>2</w:t>
      </w:r>
      <w:r w:rsidR="00680CB8" w:rsidRPr="000E68D0">
        <w:rPr>
          <w:rFonts w:ascii="仿宋_GB2312" w:eastAsia="仿宋_GB2312" w:hAnsi="宋体" w:cs="Arial" w:hint="eastAsia"/>
          <w:bCs/>
          <w:sz w:val="24"/>
        </w:rPr>
        <w:t>.本基金收益分配方式</w:t>
      </w:r>
      <w:r w:rsidR="003E6378" w:rsidRPr="000E68D0">
        <w:rPr>
          <w:rFonts w:ascii="仿宋_GB2312" w:eastAsia="仿宋_GB2312" w:hAnsi="宋体" w:cs="Arial" w:hint="eastAsia"/>
          <w:bCs/>
          <w:sz w:val="24"/>
        </w:rPr>
        <w:t>为</w:t>
      </w:r>
      <w:r w:rsidR="00680CB8" w:rsidRPr="000E68D0">
        <w:rPr>
          <w:rFonts w:ascii="仿宋_GB2312" w:eastAsia="仿宋_GB2312" w:hAnsi="宋体" w:cs="Arial" w:hint="eastAsia"/>
          <w:bCs/>
          <w:sz w:val="24"/>
        </w:rPr>
        <w:t>现金分红；</w:t>
      </w:r>
    </w:p>
    <w:p w14:paraId="2031A04D" w14:textId="72434A56" w:rsidR="00AC670B" w:rsidRPr="000E68D0" w:rsidRDefault="00AC670B">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3、基金收益分配后各类基金份额净值不能低于面值；即基金收益分配基准日的各类基金份额净值减去每单位该类基金份额收益分配金额后不能低于面值；</w:t>
      </w:r>
    </w:p>
    <w:p w14:paraId="120C1909" w14:textId="49BDADEF" w:rsidR="00680CB8" w:rsidRPr="000E68D0" w:rsidRDefault="005B5E9E" w:rsidP="009B0B89">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4</w:t>
      </w:r>
      <w:r w:rsidR="00680CB8" w:rsidRPr="000E68D0">
        <w:rPr>
          <w:rFonts w:ascii="仿宋_GB2312" w:eastAsia="仿宋_GB2312" w:hAnsi="宋体" w:cs="Arial"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75291D79" w14:textId="736DF69A" w:rsidR="00505116" w:rsidRPr="000E68D0" w:rsidRDefault="005B5E9E">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5</w:t>
      </w:r>
      <w:r w:rsidR="00680CB8" w:rsidRPr="000E68D0">
        <w:rPr>
          <w:rFonts w:ascii="仿宋_GB2312" w:eastAsia="仿宋_GB2312" w:hAnsi="宋体" w:cs="Arial" w:hint="eastAsia"/>
          <w:bCs/>
          <w:sz w:val="24"/>
        </w:rPr>
        <w:t>.</w:t>
      </w:r>
      <w:r w:rsidR="00690C57" w:rsidRPr="000E68D0">
        <w:rPr>
          <w:rFonts w:ascii="仿宋_GB2312" w:eastAsia="仿宋_GB2312" w:hAnsi="宋体" w:cs="Arial" w:hint="eastAsia"/>
          <w:bCs/>
          <w:sz w:val="24"/>
        </w:rPr>
        <w:t>法律法规或监管机关另有规定的，从其规定。</w:t>
      </w:r>
    </w:p>
    <w:p w14:paraId="455C956E" w14:textId="30E3BA7B" w:rsidR="00505116" w:rsidRPr="000E68D0" w:rsidRDefault="00680CB8">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在对基金份额持有人利益无实质</w:t>
      </w:r>
      <w:r w:rsidR="00D67DE6" w:rsidRPr="000E68D0">
        <w:rPr>
          <w:rFonts w:ascii="仿宋_GB2312" w:eastAsia="仿宋_GB2312" w:hAnsi="宋体" w:cs="Arial" w:hint="eastAsia"/>
          <w:sz w:val="24"/>
        </w:rPr>
        <w:t>性</w:t>
      </w:r>
      <w:r w:rsidRPr="000E68D0">
        <w:rPr>
          <w:rFonts w:ascii="仿宋_GB2312" w:eastAsia="仿宋_GB2312" w:hAnsi="宋体" w:cs="Arial" w:hint="eastAsia"/>
          <w:sz w:val="24"/>
        </w:rPr>
        <w:t>不利影响的前提下，基金管理人</w:t>
      </w:r>
      <w:r w:rsidR="009D5C95" w:rsidRPr="000E68D0">
        <w:rPr>
          <w:rFonts w:ascii="仿宋_GB2312" w:eastAsia="仿宋_GB2312" w:hAnsi="宋体" w:cs="Arial" w:hint="eastAsia"/>
          <w:sz w:val="24"/>
        </w:rPr>
        <w:t>在与基金托管人协商一致后</w:t>
      </w:r>
      <w:r w:rsidRPr="000E68D0">
        <w:rPr>
          <w:rFonts w:ascii="仿宋_GB2312" w:eastAsia="仿宋_GB2312" w:hAnsi="宋体" w:cs="Arial" w:hint="eastAsia"/>
          <w:sz w:val="24"/>
        </w:rPr>
        <w:t>可对基金收益分配原则和支付方式进行调整，不需召开基金份额持有人大会，但应于变更实施日前按照《信息披露办法》的要求在规定媒介公告。</w:t>
      </w:r>
    </w:p>
    <w:p w14:paraId="0BDD7B26"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（二）基金收益分配的时间和程序</w:t>
      </w:r>
    </w:p>
    <w:p w14:paraId="4ACA20A5"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本基金收益分配方案由基金管理人拟订，并由基金托管人复核，依照《信息披露办法》的有关规定在</w:t>
      </w:r>
      <w:r w:rsidR="0084425E" w:rsidRPr="000E68D0">
        <w:rPr>
          <w:rFonts w:ascii="仿宋_GB2312" w:eastAsia="仿宋_GB2312" w:hAnsi="宋体" w:cs="Arial" w:hint="eastAsia"/>
          <w:sz w:val="24"/>
        </w:rPr>
        <w:t>规</w:t>
      </w:r>
      <w:r w:rsidRPr="000E68D0">
        <w:rPr>
          <w:rFonts w:ascii="仿宋_GB2312" w:eastAsia="仿宋_GB2312" w:hAnsi="宋体" w:cs="Arial" w:hint="eastAsia"/>
          <w:sz w:val="24"/>
        </w:rPr>
        <w:t>定媒介公告。基金收益分配方案公告后(依据具体方案的规定)，基金管理人就支付的现金红利向基金托管人发送划款指令，基金托管人按照基金管理人的指令及时进行分红资金的划付。</w:t>
      </w:r>
    </w:p>
    <w:p w14:paraId="47532A7D" w14:textId="27573555" w:rsidR="00866C32" w:rsidRPr="000E68D0" w:rsidRDefault="00690C57" w:rsidP="00866C32">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基金收益分配时所发生的银行转账或其他手续费用由投资者自行承担。</w:t>
      </w:r>
    </w:p>
    <w:p w14:paraId="5C91E15D" w14:textId="77777777" w:rsidR="00866C32" w:rsidRPr="000E68D0" w:rsidRDefault="00866C32" w:rsidP="00866C32">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（三）实施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期间的收益分配</w:t>
      </w:r>
    </w:p>
    <w:p w14:paraId="637F9276" w14:textId="77777777" w:rsidR="00866C32" w:rsidRPr="000E68D0" w:rsidRDefault="00866C32" w:rsidP="00866C32">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本基金实施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的，</w:t>
      </w:r>
      <w:proofErr w:type="gramStart"/>
      <w:r w:rsidRPr="000E68D0">
        <w:rPr>
          <w:rFonts w:ascii="仿宋_GB2312" w:eastAsia="仿宋_GB2312" w:hAnsi="宋体" w:cs="Arial" w:hint="eastAsia"/>
          <w:sz w:val="24"/>
        </w:rPr>
        <w:t>侧袋账户</w:t>
      </w:r>
      <w:proofErr w:type="gramEnd"/>
      <w:r w:rsidRPr="000E68D0">
        <w:rPr>
          <w:rFonts w:ascii="仿宋_GB2312" w:eastAsia="仿宋_GB2312" w:hAnsi="宋体" w:cs="Arial" w:hint="eastAsia"/>
          <w:sz w:val="24"/>
        </w:rPr>
        <w:t>不进行收益分配，详见招募说明书的规定。</w:t>
      </w:r>
    </w:p>
    <w:p w14:paraId="3022A55D"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3C2EBB39" w14:textId="77777777" w:rsidR="00505116" w:rsidRPr="000E68D0" w:rsidRDefault="00690C57">
      <w:pPr>
        <w:pStyle w:val="2"/>
        <w:spacing w:before="240" w:after="240" w:line="276" w:lineRule="auto"/>
        <w:jc w:val="center"/>
        <w:rPr>
          <w:rFonts w:ascii="仿宋_GB2312" w:eastAsia="仿宋_GB2312"/>
          <w:sz w:val="30"/>
        </w:rPr>
      </w:pPr>
      <w:bookmarkStart w:id="88" w:name="_Toc151104998"/>
      <w:r w:rsidRPr="000E68D0">
        <w:rPr>
          <w:rFonts w:ascii="仿宋_GB2312" w:eastAsia="仿宋_GB2312" w:hint="eastAsia"/>
          <w:sz w:val="30"/>
        </w:rPr>
        <w:t>十、基金信息披露</w:t>
      </w:r>
      <w:bookmarkEnd w:id="88"/>
    </w:p>
    <w:p w14:paraId="67D15CC3"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（一）保密义务</w:t>
      </w:r>
    </w:p>
    <w:p w14:paraId="65E0839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7126625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1.非因基金管理人和基金托管人的原因导致保密信息被披露、泄露或公开；</w:t>
      </w:r>
    </w:p>
    <w:p w14:paraId="6897C64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2.基金管理人和基金托管人为遵守和服从法院判决或裁定、仲裁裁决或中国</w:t>
      </w:r>
      <w:r w:rsidRPr="000E68D0">
        <w:rPr>
          <w:rFonts w:ascii="仿宋_GB2312" w:eastAsia="仿宋_GB2312" w:hAnsi="宋体" w:cs="Arial" w:hint="eastAsia"/>
          <w:sz w:val="24"/>
        </w:rPr>
        <w:lastRenderedPageBreak/>
        <w:t>证监会等监管机构的命令、决定所做出的信息披露或公开；</w:t>
      </w:r>
    </w:p>
    <w:p w14:paraId="219E527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w:t>
      </w:r>
      <w:r w:rsidR="00680CB8" w:rsidRPr="000E68D0">
        <w:rPr>
          <w:rFonts w:ascii="仿宋_GB2312" w:eastAsia="仿宋_GB2312" w:hAnsi="宋体" w:cs="Arial" w:hint="eastAsia"/>
          <w:sz w:val="24"/>
        </w:rPr>
        <w:t>.</w:t>
      </w:r>
      <w:r w:rsidRPr="000E68D0">
        <w:rPr>
          <w:rFonts w:ascii="仿宋_GB2312" w:eastAsia="仿宋_GB2312" w:hAnsi="宋体" w:cs="Arial" w:hint="eastAsia"/>
          <w:sz w:val="24"/>
        </w:rPr>
        <w:t>基金管理人和基金托管人在要求保密的前提下对自身聘请的外部法律顾问、财务顾问、审计人员、技术顾问等做出的必要信息披露。</w:t>
      </w:r>
    </w:p>
    <w:p w14:paraId="51CE22FA"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（二）信息披露的内容</w:t>
      </w:r>
    </w:p>
    <w:p w14:paraId="6C20ADCE" w14:textId="2F82DAD4"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w:t>
      </w:r>
      <w:r w:rsidR="00B73B44" w:rsidRPr="000E68D0">
        <w:rPr>
          <w:rFonts w:ascii="仿宋_GB2312" w:eastAsia="仿宋_GB2312" w:hAnsi="宋体" w:cs="Arial" w:hint="eastAsia"/>
          <w:sz w:val="24"/>
        </w:rPr>
        <w:t>发起资金认购份额报告、</w:t>
      </w:r>
      <w:r w:rsidR="00EE76A6" w:rsidRPr="000E68D0">
        <w:rPr>
          <w:rFonts w:ascii="仿宋_GB2312" w:eastAsia="仿宋_GB2312" w:hAnsi="宋体" w:cs="Arial" w:hint="eastAsia"/>
          <w:sz w:val="24"/>
        </w:rPr>
        <w:t>实施</w:t>
      </w:r>
      <w:proofErr w:type="gramStart"/>
      <w:r w:rsidR="00EE76A6" w:rsidRPr="000E68D0">
        <w:rPr>
          <w:rFonts w:ascii="仿宋_GB2312" w:eastAsia="仿宋_GB2312" w:hAnsi="宋体" w:cs="Arial" w:hint="eastAsia"/>
          <w:sz w:val="24"/>
        </w:rPr>
        <w:t>侧袋机制</w:t>
      </w:r>
      <w:proofErr w:type="gramEnd"/>
      <w:r w:rsidR="00EE76A6" w:rsidRPr="000E68D0">
        <w:rPr>
          <w:rFonts w:ascii="仿宋_GB2312" w:eastAsia="仿宋_GB2312" w:hAnsi="宋体" w:cs="Arial" w:hint="eastAsia"/>
          <w:sz w:val="24"/>
        </w:rPr>
        <w:t>期间的信息披露、</w:t>
      </w:r>
      <w:r w:rsidRPr="000E68D0">
        <w:rPr>
          <w:rFonts w:ascii="仿宋_GB2312" w:eastAsia="仿宋_GB2312" w:hAnsi="宋体" w:cs="Arial" w:hint="eastAsia"/>
          <w:sz w:val="24"/>
        </w:rPr>
        <w:t>中国证监会规定</w:t>
      </w:r>
      <w:r w:rsidR="00EE76A6" w:rsidRPr="000E68D0">
        <w:rPr>
          <w:rFonts w:ascii="仿宋_GB2312" w:eastAsia="仿宋_GB2312" w:hAnsi="宋体" w:cs="Arial" w:hint="eastAsia"/>
          <w:sz w:val="24"/>
        </w:rPr>
        <w:t>应予公开披露</w:t>
      </w:r>
      <w:r w:rsidRPr="000E68D0">
        <w:rPr>
          <w:rFonts w:ascii="仿宋_GB2312" w:eastAsia="仿宋_GB2312" w:hAnsi="宋体" w:cs="Arial" w:hint="eastAsia"/>
          <w:sz w:val="24"/>
        </w:rPr>
        <w:t>的其他信息。基金年度报告中的财务会计报告</w:t>
      </w:r>
      <w:r w:rsidR="00EE76A6" w:rsidRPr="000E68D0">
        <w:rPr>
          <w:rFonts w:ascii="仿宋_GB2312" w:eastAsia="仿宋_GB2312" w:hAnsi="宋体" w:cs="Arial" w:hint="eastAsia"/>
          <w:sz w:val="24"/>
        </w:rPr>
        <w:t>应当经过符合《中华人民共和国证券法》规定</w:t>
      </w:r>
      <w:r w:rsidRPr="000E68D0">
        <w:rPr>
          <w:rFonts w:ascii="仿宋_GB2312" w:eastAsia="仿宋_GB2312" w:hAnsi="宋体" w:cs="Arial" w:hint="eastAsia"/>
          <w:sz w:val="24"/>
        </w:rPr>
        <w:t>的会计师事务所审计后，方可披露。</w:t>
      </w:r>
    </w:p>
    <w:p w14:paraId="3CB8A1A3"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（三）基金托管人和基金管理人在信息披露中的职责和信息披露程序</w:t>
      </w:r>
    </w:p>
    <w:p w14:paraId="121DAFF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1.职责</w:t>
      </w:r>
    </w:p>
    <w:p w14:paraId="17F4C16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3ACF72C" w14:textId="6F8AFCA0"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对于不需要基金托管人复核的信息，基金管理人在公告前应告知基金托管人。</w:t>
      </w:r>
    </w:p>
    <w:p w14:paraId="3D93098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基金管理人和基金托管人应积极配合、互相监督，保证其履行按照法定方式和限时披露的义务。</w:t>
      </w:r>
    </w:p>
    <w:p w14:paraId="4CE1893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基金管理人应当在中国证监会规定的时间内，将应予披露的基金信息通过</w:t>
      </w:r>
      <w:r w:rsidR="0084425E" w:rsidRPr="000E68D0">
        <w:rPr>
          <w:rFonts w:ascii="仿宋_GB2312" w:eastAsia="仿宋_GB2312" w:hAnsi="宋体" w:cs="Arial" w:hint="eastAsia"/>
          <w:sz w:val="24"/>
        </w:rPr>
        <w:t>规</w:t>
      </w:r>
      <w:r w:rsidRPr="000E68D0">
        <w:rPr>
          <w:rFonts w:ascii="仿宋_GB2312" w:eastAsia="仿宋_GB2312" w:hAnsi="宋体" w:cs="Arial" w:hint="eastAsia"/>
          <w:sz w:val="24"/>
        </w:rPr>
        <w:t>定媒介披露。根据法律法规应由基金托管人公开披露的信息，基金托管人将通过</w:t>
      </w:r>
      <w:r w:rsidR="0084425E" w:rsidRPr="000E68D0">
        <w:rPr>
          <w:rFonts w:ascii="仿宋_GB2312" w:eastAsia="仿宋_GB2312" w:hAnsi="宋体" w:cs="Arial" w:hint="eastAsia"/>
          <w:sz w:val="24"/>
        </w:rPr>
        <w:t>规</w:t>
      </w:r>
      <w:r w:rsidRPr="000E68D0">
        <w:rPr>
          <w:rFonts w:ascii="仿宋_GB2312" w:eastAsia="仿宋_GB2312" w:hAnsi="宋体" w:cs="Arial" w:hint="eastAsia"/>
          <w:sz w:val="24"/>
        </w:rPr>
        <w:t>定媒介公开披露。</w:t>
      </w:r>
    </w:p>
    <w:p w14:paraId="035AB30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当出现下述情况时，基金管理人和基金托管人可暂停或延迟披露基金相关信息：</w:t>
      </w:r>
    </w:p>
    <w:p w14:paraId="49936438" w14:textId="33BFD7F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（1）基金投资所涉及的证券、期货交易所</w:t>
      </w:r>
      <w:r w:rsidR="009C552B" w:rsidRPr="000E68D0">
        <w:rPr>
          <w:rFonts w:ascii="仿宋_GB2312" w:eastAsia="仿宋_GB2312" w:hAnsi="宋体" w:cs="Arial" w:hint="eastAsia"/>
          <w:sz w:val="24"/>
        </w:rPr>
        <w:t>或外汇市场</w:t>
      </w:r>
      <w:r w:rsidRPr="000E68D0">
        <w:rPr>
          <w:rFonts w:ascii="仿宋_GB2312" w:eastAsia="仿宋_GB2312" w:hAnsi="宋体" w:cs="Arial" w:hint="eastAsia"/>
          <w:sz w:val="24"/>
        </w:rPr>
        <w:t>遇法定节假日或因其他原因暂停营业时；</w:t>
      </w:r>
    </w:p>
    <w:p w14:paraId="36788D2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（2）因不可抗力或其他情形致使基金管理人、基金托管人无法准确评估基金资产价值时；</w:t>
      </w:r>
    </w:p>
    <w:p w14:paraId="49CC4F6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（3）法律法规规定、中国证监会或《基金合同》认定的其他情形。</w:t>
      </w:r>
    </w:p>
    <w:p w14:paraId="3E0F501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2.程序</w:t>
      </w:r>
    </w:p>
    <w:p w14:paraId="6C80D0E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4DC325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3.信息文本的存放</w:t>
      </w:r>
    </w:p>
    <w:p w14:paraId="2E844BC9" w14:textId="6102EF6B"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依法必须披露的信息发布后，基金管理人、基金托管人应当按照相关法律法规规定将信息置备于</w:t>
      </w:r>
      <w:r w:rsidR="00EE76A6" w:rsidRPr="000E68D0">
        <w:rPr>
          <w:rFonts w:ascii="仿宋_GB2312" w:eastAsia="仿宋_GB2312" w:hAnsi="宋体" w:cs="Arial" w:hint="eastAsia"/>
          <w:sz w:val="24"/>
        </w:rPr>
        <w:t>公司</w:t>
      </w:r>
      <w:r w:rsidRPr="000E68D0">
        <w:rPr>
          <w:rFonts w:ascii="仿宋_GB2312" w:eastAsia="仿宋_GB2312" w:hAnsi="宋体" w:cs="Arial" w:hint="eastAsia"/>
          <w:sz w:val="24"/>
        </w:rPr>
        <w:t>住所，供社会公众查阅、复制。</w:t>
      </w:r>
      <w:r w:rsidR="00212010" w:rsidRPr="000E68D0">
        <w:rPr>
          <w:rFonts w:ascii="仿宋_GB2312" w:eastAsia="仿宋_GB2312" w:hAnsi="宋体" w:cs="Arial" w:hint="eastAsia"/>
          <w:sz w:val="24"/>
        </w:rPr>
        <w:t>投资者</w:t>
      </w:r>
      <w:r w:rsidRPr="000E68D0">
        <w:rPr>
          <w:rFonts w:ascii="仿宋_GB2312" w:eastAsia="仿宋_GB2312" w:hAnsi="宋体" w:cs="Arial" w:hint="eastAsia"/>
          <w:sz w:val="24"/>
        </w:rPr>
        <w:t>在支付工本费后可在合理时间获得相关文件的复制件或复印件。基金管理人和基金托管人应保证文本的内容与所公告的内容完全一致。</w:t>
      </w:r>
    </w:p>
    <w:p w14:paraId="245C347D" w14:textId="77777777" w:rsidR="0078037D" w:rsidRPr="000E68D0" w:rsidRDefault="0078037D" w:rsidP="001F3A04">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（四）实施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期间的信息披露</w:t>
      </w:r>
    </w:p>
    <w:p w14:paraId="00566A6B" w14:textId="77777777" w:rsidR="0078037D" w:rsidRPr="000E68D0" w:rsidRDefault="0078037D" w:rsidP="001F3A04">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本基金实施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的，相关信息披露义务人应当根据法律法规、基金合同和招募说明书的规定进行信息披露，详见招募说明书的规定。</w:t>
      </w:r>
    </w:p>
    <w:p w14:paraId="0E3D3788" w14:textId="77777777" w:rsidR="00505116" w:rsidRPr="000E68D0" w:rsidRDefault="00505116">
      <w:pPr>
        <w:pStyle w:val="a0"/>
        <w:spacing w:before="240" w:after="240" w:line="276" w:lineRule="auto"/>
        <w:ind w:firstLineChars="0" w:firstLine="0"/>
        <w:rPr>
          <w:rFonts w:ascii="仿宋_GB2312" w:eastAsia="仿宋_GB2312" w:hAnsi="宋体" w:cs="Arial"/>
          <w:sz w:val="24"/>
        </w:rPr>
      </w:pPr>
    </w:p>
    <w:p w14:paraId="5D8819C6" w14:textId="77777777" w:rsidR="00505116" w:rsidRPr="000E68D0" w:rsidRDefault="00690C57">
      <w:pPr>
        <w:pStyle w:val="2"/>
        <w:spacing w:before="240" w:after="240" w:line="276" w:lineRule="auto"/>
        <w:jc w:val="center"/>
        <w:rPr>
          <w:rFonts w:ascii="仿宋_GB2312" w:eastAsia="仿宋_GB2312"/>
          <w:sz w:val="30"/>
        </w:rPr>
      </w:pPr>
      <w:bookmarkStart w:id="89" w:name="_Toc151104999"/>
      <w:r w:rsidRPr="000E68D0">
        <w:rPr>
          <w:rFonts w:ascii="仿宋_GB2312" w:eastAsia="仿宋_GB2312" w:hint="eastAsia"/>
          <w:sz w:val="30"/>
        </w:rPr>
        <w:t>十一、基金费用</w:t>
      </w:r>
      <w:bookmarkEnd w:id="89"/>
    </w:p>
    <w:p w14:paraId="4951A01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（一）基金管理费的计提比例和计提方法</w:t>
      </w:r>
    </w:p>
    <w:p w14:paraId="66B067B0" w14:textId="21B53059" w:rsidR="00157E29" w:rsidRPr="000E68D0" w:rsidRDefault="00157E29" w:rsidP="00157E29">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本基金的管理费年费率最高不超过1.</w:t>
      </w:r>
      <w:r w:rsidR="0024165C" w:rsidRPr="000E68D0">
        <w:rPr>
          <w:rFonts w:ascii="仿宋_GB2312" w:eastAsia="仿宋_GB2312" w:hAnsi="宋体" w:cs="Arial" w:hint="eastAsia"/>
          <w:bCs/>
          <w:sz w:val="24"/>
        </w:rPr>
        <w:t>2</w:t>
      </w:r>
      <w:r w:rsidRPr="000E68D0">
        <w:rPr>
          <w:rFonts w:ascii="仿宋_GB2312" w:eastAsia="仿宋_GB2312" w:hAnsi="宋体" w:cs="Arial" w:hint="eastAsia"/>
          <w:bCs/>
          <w:sz w:val="24"/>
        </w:rPr>
        <w:t>0%。本基金可以对不同份额类别设定不同的管理费率并在招募说明书中列示。</w:t>
      </w:r>
    </w:p>
    <w:p w14:paraId="1886C872" w14:textId="2F9A1614" w:rsidR="00157E29" w:rsidRPr="000E68D0" w:rsidRDefault="00157E29" w:rsidP="00157E29">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管理费的计算方法如下：</w:t>
      </w:r>
    </w:p>
    <w:p w14:paraId="419EB5D2" w14:textId="77777777" w:rsidR="003E6378" w:rsidRPr="000E68D0" w:rsidRDefault="003E6378" w:rsidP="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H＝E×该类基金份额年管理费率÷当年天数</w:t>
      </w:r>
    </w:p>
    <w:p w14:paraId="00B20FE9" w14:textId="77777777" w:rsidR="003E6378" w:rsidRPr="000E68D0" w:rsidRDefault="003E6378" w:rsidP="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H为每日该类基金份额应计提的基金管理费</w:t>
      </w:r>
    </w:p>
    <w:p w14:paraId="7246BE28" w14:textId="77777777" w:rsidR="008F7711" w:rsidRPr="000E68D0" w:rsidRDefault="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E为当日该类基金份额计提管理费和</w:t>
      </w:r>
      <w:proofErr w:type="gramStart"/>
      <w:r w:rsidRPr="000E68D0">
        <w:rPr>
          <w:rFonts w:ascii="仿宋_GB2312" w:eastAsia="仿宋_GB2312" w:hAnsi="宋体" w:cs="Arial" w:hint="eastAsia"/>
          <w:bCs/>
          <w:sz w:val="24"/>
        </w:rPr>
        <w:t>托管费前的</w:t>
      </w:r>
      <w:proofErr w:type="gramEnd"/>
      <w:r w:rsidRPr="000E68D0">
        <w:rPr>
          <w:rFonts w:ascii="仿宋_GB2312" w:eastAsia="仿宋_GB2312" w:hAnsi="宋体" w:cs="Arial" w:hint="eastAsia"/>
          <w:bCs/>
          <w:sz w:val="24"/>
        </w:rPr>
        <w:t>基金资产净值</w:t>
      </w:r>
    </w:p>
    <w:p w14:paraId="66621CD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（二）基金托管费的计提比例和计提方法</w:t>
      </w:r>
    </w:p>
    <w:p w14:paraId="6240C0D3" w14:textId="77777777" w:rsidR="003E6378" w:rsidRPr="000E68D0" w:rsidRDefault="003E6378" w:rsidP="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本基金的托管费按当日基金资产净值的0.20%的年费率计提。托管费的计算方法如下：</w:t>
      </w:r>
    </w:p>
    <w:p w14:paraId="69323D0F" w14:textId="77777777" w:rsidR="003E6378" w:rsidRPr="000E68D0" w:rsidRDefault="003E6378" w:rsidP="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H＝E×0.20%÷当年天数</w:t>
      </w:r>
    </w:p>
    <w:p w14:paraId="475D638E" w14:textId="77777777" w:rsidR="003E6378" w:rsidRPr="000E68D0" w:rsidRDefault="003E6378" w:rsidP="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H为每日应计提的基金托管费</w:t>
      </w:r>
    </w:p>
    <w:p w14:paraId="5528DB07" w14:textId="69D4EAEB" w:rsidR="00505116" w:rsidRPr="000E68D0" w:rsidRDefault="003E6378">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lastRenderedPageBreak/>
        <w:t>E为当日计提管理费和</w:t>
      </w:r>
      <w:proofErr w:type="gramStart"/>
      <w:r w:rsidRPr="000E68D0">
        <w:rPr>
          <w:rFonts w:ascii="仿宋_GB2312" w:eastAsia="仿宋_GB2312" w:hAnsi="宋体" w:cs="Arial" w:hint="eastAsia"/>
          <w:bCs/>
          <w:sz w:val="24"/>
        </w:rPr>
        <w:t>托管费前的</w:t>
      </w:r>
      <w:proofErr w:type="gramEnd"/>
      <w:r w:rsidRPr="000E68D0">
        <w:rPr>
          <w:rFonts w:ascii="仿宋_GB2312" w:eastAsia="仿宋_GB2312" w:hAnsi="宋体" w:cs="Arial" w:hint="eastAsia"/>
          <w:bCs/>
          <w:sz w:val="24"/>
        </w:rPr>
        <w:t>基金资产净值</w:t>
      </w:r>
    </w:p>
    <w:p w14:paraId="235A158D" w14:textId="5459874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w:t>
      </w:r>
      <w:r w:rsidR="00365F8F" w:rsidRPr="000E68D0">
        <w:rPr>
          <w:rFonts w:ascii="仿宋_GB2312" w:eastAsia="仿宋_GB2312" w:hAnsi="宋体" w:cs="Arial" w:hint="eastAsia"/>
          <w:sz w:val="24"/>
        </w:rPr>
        <w:t>三</w:t>
      </w:r>
      <w:r w:rsidRPr="000E68D0">
        <w:rPr>
          <w:rFonts w:ascii="仿宋_GB2312" w:eastAsia="仿宋_GB2312" w:hAnsi="宋体" w:cs="Arial" w:hint="eastAsia"/>
          <w:sz w:val="24"/>
        </w:rPr>
        <w:t>）</w:t>
      </w:r>
      <w:r w:rsidR="00F81048" w:rsidRPr="000E68D0">
        <w:rPr>
          <w:rFonts w:ascii="仿宋_GB2312" w:eastAsia="仿宋_GB2312" w:hAnsi="宋体" w:cs="Arial" w:hint="eastAsia"/>
          <w:sz w:val="24"/>
        </w:rPr>
        <w:t>基金合同生效后与基金相关的信息披露费用、会计师费、律师费和诉讼费或仲裁费，基金份额持有人大会费用，基金的证券、期货交易费用，基金的银行汇划费用，基金的开户费用、账户维护费用，</w:t>
      </w:r>
      <w:r w:rsidR="00FD7810" w:rsidRPr="000E68D0">
        <w:rPr>
          <w:rFonts w:ascii="仿宋_GB2312" w:eastAsia="仿宋_GB2312" w:hAnsi="宋体" w:cs="Arial" w:hint="eastAsia"/>
          <w:sz w:val="24"/>
        </w:rPr>
        <w:t>因投资港股通标的股票而产生的各项费用</w:t>
      </w:r>
      <w:r w:rsidR="006B65BD" w:rsidRPr="000E68D0">
        <w:rPr>
          <w:rFonts w:ascii="仿宋_GB2312" w:eastAsia="仿宋_GB2312" w:hAnsi="宋体" w:cs="Arial" w:hint="eastAsia"/>
          <w:sz w:val="24"/>
        </w:rPr>
        <w:t>等</w:t>
      </w:r>
      <w:r w:rsidR="00FD7810" w:rsidRPr="000E68D0">
        <w:rPr>
          <w:rFonts w:ascii="仿宋_GB2312" w:eastAsia="仿宋_GB2312" w:hAnsi="宋体" w:cs="Arial" w:hint="eastAsia"/>
          <w:sz w:val="24"/>
        </w:rPr>
        <w:t>，</w:t>
      </w:r>
      <w:r w:rsidR="00F81048" w:rsidRPr="000E68D0">
        <w:rPr>
          <w:rFonts w:ascii="仿宋_GB2312" w:eastAsia="仿宋_GB2312" w:hAnsi="宋体" w:cs="Arial" w:hint="eastAsia"/>
          <w:sz w:val="24"/>
        </w:rPr>
        <w:t>按照国家有关规定和基金合同约定，可以在基金财产中列支的其他费用</w:t>
      </w:r>
      <w:r w:rsidR="00212010" w:rsidRPr="000E68D0">
        <w:rPr>
          <w:rFonts w:ascii="仿宋_GB2312" w:eastAsia="仿宋_GB2312" w:hAnsi="宋体" w:cs="Arial" w:hint="eastAsia"/>
          <w:sz w:val="24"/>
        </w:rPr>
        <w:t>列入当期基金费用</w:t>
      </w:r>
      <w:r w:rsidR="00F81048" w:rsidRPr="000E68D0">
        <w:rPr>
          <w:rFonts w:ascii="仿宋_GB2312" w:eastAsia="仿宋_GB2312" w:hAnsi="宋体" w:cs="Arial" w:hint="eastAsia"/>
          <w:sz w:val="24"/>
        </w:rPr>
        <w:t>。</w:t>
      </w:r>
    </w:p>
    <w:p w14:paraId="51F9850F" w14:textId="5E86D091"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w:t>
      </w:r>
      <w:r w:rsidR="00C96B1C" w:rsidRPr="000E68D0">
        <w:rPr>
          <w:rFonts w:ascii="仿宋_GB2312" w:eastAsia="仿宋_GB2312" w:hAnsi="宋体" w:cs="Arial" w:hint="eastAsia"/>
          <w:sz w:val="24"/>
        </w:rPr>
        <w:t>四</w:t>
      </w:r>
      <w:r w:rsidRPr="000E68D0">
        <w:rPr>
          <w:rFonts w:ascii="仿宋_GB2312" w:eastAsia="仿宋_GB2312" w:hAnsi="宋体" w:cs="Arial" w:hint="eastAsia"/>
          <w:sz w:val="24"/>
        </w:rPr>
        <w:t>）不列入基金费用的项目</w:t>
      </w:r>
    </w:p>
    <w:p w14:paraId="6C726B2F" w14:textId="3F6DC486"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《基金合同》生效前的</w:t>
      </w:r>
      <w:r w:rsidR="00F81048" w:rsidRPr="000E68D0">
        <w:rPr>
          <w:rFonts w:ascii="仿宋_GB2312" w:eastAsia="仿宋_GB2312" w:hAnsi="宋体" w:cs="Arial" w:hint="eastAsia"/>
          <w:sz w:val="24"/>
        </w:rPr>
        <w:t>相关费用，</w:t>
      </w:r>
      <w:r w:rsidRPr="000E68D0">
        <w:rPr>
          <w:rFonts w:ascii="仿宋_GB2312" w:eastAsia="仿宋_GB2312" w:hAnsi="宋体" w:cs="Arial" w:hint="eastAsia"/>
          <w:sz w:val="24"/>
        </w:rPr>
        <w:t>基金管理人和基金托管人因未履行或未完全履行义务导致的费用支出或基金财产的损失</w:t>
      </w:r>
      <w:r w:rsidR="00F81048" w:rsidRPr="000E68D0">
        <w:rPr>
          <w:rFonts w:ascii="仿宋_GB2312" w:eastAsia="仿宋_GB2312" w:hAnsi="宋体" w:cs="Arial" w:hint="eastAsia"/>
          <w:sz w:val="24"/>
        </w:rPr>
        <w:t>、</w:t>
      </w:r>
      <w:r w:rsidRPr="000E68D0">
        <w:rPr>
          <w:rFonts w:ascii="仿宋_GB2312" w:eastAsia="仿宋_GB2312" w:hAnsi="宋体" w:cs="Arial" w:hint="eastAsia"/>
          <w:sz w:val="24"/>
        </w:rPr>
        <w:t>处理与基金运作无关的事项发生的费用以及其他根据相关法律法规及中国证监会的有关规定不得列入基金费用的项目等不列入基金费用。</w:t>
      </w:r>
    </w:p>
    <w:p w14:paraId="7C86E900" w14:textId="21E6FE80"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w:t>
      </w:r>
      <w:r w:rsidR="00C96B1C" w:rsidRPr="000E68D0">
        <w:rPr>
          <w:rFonts w:ascii="仿宋_GB2312" w:eastAsia="仿宋_GB2312" w:hAnsi="宋体" w:cs="Arial" w:hint="eastAsia"/>
          <w:sz w:val="24"/>
        </w:rPr>
        <w:t>五</w:t>
      </w:r>
      <w:r w:rsidRPr="000E68D0">
        <w:rPr>
          <w:rFonts w:ascii="仿宋_GB2312" w:eastAsia="仿宋_GB2312" w:hAnsi="宋体" w:cs="Arial" w:hint="eastAsia"/>
          <w:sz w:val="24"/>
        </w:rPr>
        <w:t>）基金管理费、基金托管费的复核程序、支付方式和时间</w:t>
      </w:r>
    </w:p>
    <w:p w14:paraId="5EA599D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1.复核程序</w:t>
      </w:r>
    </w:p>
    <w:p w14:paraId="120AA14C" w14:textId="3F8958EC"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基金托管人对基金管理人计提的基金管理费、基金托管费等，根据本托管协议和《基金合同》的有关规定进行复核。</w:t>
      </w:r>
    </w:p>
    <w:p w14:paraId="3CDAA73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2.支付方式和时间</w:t>
      </w:r>
    </w:p>
    <w:p w14:paraId="2B4CE0B0" w14:textId="41816C41"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基金管理费、基金托管费每日计</w:t>
      </w:r>
      <w:r w:rsidR="004F357D" w:rsidRPr="000E68D0">
        <w:rPr>
          <w:rFonts w:ascii="仿宋_GB2312" w:eastAsia="仿宋_GB2312" w:hAnsi="宋体" w:cs="Arial" w:hint="eastAsia"/>
          <w:sz w:val="24"/>
        </w:rPr>
        <w:t>算</w:t>
      </w:r>
      <w:r w:rsidRPr="000E68D0">
        <w:rPr>
          <w:rFonts w:ascii="仿宋_GB2312" w:eastAsia="仿宋_GB2312" w:hAnsi="宋体" w:cs="Arial" w:hint="eastAsia"/>
          <w:sz w:val="24"/>
        </w:rPr>
        <w:t>，按月支付</w:t>
      </w:r>
      <w:r w:rsidR="004F357D" w:rsidRPr="000E68D0">
        <w:rPr>
          <w:rFonts w:ascii="仿宋_GB2312" w:eastAsia="仿宋_GB2312" w:hAnsi="宋体" w:cs="Arial" w:hint="eastAsia"/>
          <w:sz w:val="24"/>
        </w:rPr>
        <w:t>，</w:t>
      </w:r>
      <w:r w:rsidRPr="000E68D0">
        <w:rPr>
          <w:rFonts w:ascii="仿宋_GB2312" w:eastAsia="仿宋_GB2312" w:hAnsi="宋体" w:cs="Arial" w:hint="eastAsia"/>
          <w:sz w:val="24"/>
        </w:rPr>
        <w:t>由基金托管人根据与基金管理人核对一致的财务数据，自动在</w:t>
      </w:r>
      <w:r w:rsidR="00C70C47" w:rsidRPr="000E68D0">
        <w:rPr>
          <w:rFonts w:ascii="仿宋_GB2312" w:eastAsia="仿宋_GB2312" w:hAnsi="宋体" w:cs="Arial" w:hint="eastAsia"/>
          <w:sz w:val="24"/>
        </w:rPr>
        <w:t>次</w:t>
      </w:r>
      <w:r w:rsidRPr="000E68D0">
        <w:rPr>
          <w:rFonts w:ascii="仿宋_GB2312" w:eastAsia="仿宋_GB2312" w:hAnsi="宋体" w:cs="Arial" w:hint="eastAsia"/>
          <w:sz w:val="24"/>
        </w:rPr>
        <w:t>月</w:t>
      </w:r>
      <w:r w:rsidR="004F357D" w:rsidRPr="000E68D0">
        <w:rPr>
          <w:rFonts w:ascii="仿宋_GB2312" w:eastAsia="仿宋_GB2312" w:hAnsi="宋体" w:cs="Arial" w:hint="eastAsia"/>
          <w:sz w:val="24"/>
        </w:rPr>
        <w:t>月</w:t>
      </w:r>
      <w:r w:rsidRPr="000E68D0">
        <w:rPr>
          <w:rFonts w:ascii="仿宋_GB2312" w:eastAsia="仿宋_GB2312" w:hAnsi="宋体" w:cs="Arial" w:hint="eastAsia"/>
          <w:sz w:val="24"/>
        </w:rPr>
        <w:t>初5个工作日内</w:t>
      </w:r>
      <w:r w:rsidR="004F357D" w:rsidRPr="000E68D0">
        <w:rPr>
          <w:rFonts w:ascii="仿宋_GB2312" w:eastAsia="仿宋_GB2312" w:hAnsi="宋体" w:cs="Arial" w:hint="eastAsia"/>
          <w:sz w:val="24"/>
        </w:rPr>
        <w:t>、</w:t>
      </w:r>
      <w:r w:rsidRPr="000E68D0">
        <w:rPr>
          <w:rFonts w:ascii="仿宋_GB2312" w:eastAsia="仿宋_GB2312" w:hAnsi="宋体" w:cs="Arial" w:hint="eastAsia"/>
          <w:sz w:val="24"/>
        </w:rPr>
        <w:t>按照指定的账户路径进行资金支付，基金管理人无需再出具资金划拨指令。若遇法定节假日、休息日或不可抗力等，支付日期顺延。费用自动扣划后，基金管理人应进行核对，如发现数据不符，及时联系基金托管人协商解决。</w:t>
      </w:r>
      <w:bookmarkStart w:id="90" w:name="_Hlk144024772"/>
      <w:r w:rsidR="003E6378" w:rsidRPr="000E68D0">
        <w:rPr>
          <w:rFonts w:ascii="仿宋_GB2312" w:eastAsia="仿宋_GB2312" w:hAnsi="宋体" w:cs="Arial" w:hint="eastAsia"/>
          <w:bCs/>
          <w:sz w:val="24"/>
        </w:rPr>
        <w:t>基金成立日不收取基金管理费和托管费。</w:t>
      </w:r>
      <w:bookmarkEnd w:id="90"/>
    </w:p>
    <w:p w14:paraId="3F548A44" w14:textId="239E6F3E"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在首期支付基金管理费前，基金管理人应向托管人出具正式函件指定基金管理费的收款账户。基金管理人如需要</w:t>
      </w:r>
      <w:proofErr w:type="gramStart"/>
      <w:r w:rsidRPr="000E68D0">
        <w:rPr>
          <w:rFonts w:ascii="仿宋_GB2312" w:eastAsia="仿宋_GB2312" w:hAnsi="宋体" w:cs="Arial" w:hint="eastAsia"/>
          <w:sz w:val="24"/>
        </w:rPr>
        <w:t>变更此</w:t>
      </w:r>
      <w:proofErr w:type="gramEnd"/>
      <w:r w:rsidRPr="000E68D0">
        <w:rPr>
          <w:rFonts w:ascii="仿宋_GB2312" w:eastAsia="仿宋_GB2312" w:hAnsi="宋体" w:cs="Arial" w:hint="eastAsia"/>
          <w:sz w:val="24"/>
        </w:rPr>
        <w:t>账户，应提前5个工作日向托管人出具书面的收款账户变更通知。</w:t>
      </w:r>
    </w:p>
    <w:p w14:paraId="294933BD" w14:textId="77777777" w:rsidR="00505116" w:rsidRPr="000E68D0" w:rsidRDefault="00690C57" w:rsidP="007810DF">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（七）违规处理方式</w:t>
      </w:r>
    </w:p>
    <w:p w14:paraId="785295C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347DA84" w14:textId="3370A3B1" w:rsidR="0078037D" w:rsidRPr="000E68D0" w:rsidRDefault="0078037D" w:rsidP="0078037D">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（八）实施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期间的基金费用</w:t>
      </w:r>
    </w:p>
    <w:p w14:paraId="4696C5DB" w14:textId="77777777" w:rsidR="0078037D" w:rsidRPr="000E68D0" w:rsidRDefault="0078037D" w:rsidP="0078037D">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本基金实施</w:t>
      </w:r>
      <w:proofErr w:type="gramStart"/>
      <w:r w:rsidRPr="000E68D0">
        <w:rPr>
          <w:rFonts w:ascii="仿宋_GB2312" w:eastAsia="仿宋_GB2312" w:hAnsi="宋体" w:cs="Arial" w:hint="eastAsia"/>
          <w:sz w:val="24"/>
        </w:rPr>
        <w:t>侧袋机制</w:t>
      </w:r>
      <w:proofErr w:type="gramEnd"/>
      <w:r w:rsidRPr="000E68D0">
        <w:rPr>
          <w:rFonts w:ascii="仿宋_GB2312" w:eastAsia="仿宋_GB2312" w:hAnsi="宋体" w:cs="Arial" w:hint="eastAsia"/>
          <w:sz w:val="24"/>
        </w:rPr>
        <w:t>的，</w:t>
      </w:r>
      <w:proofErr w:type="gramStart"/>
      <w:r w:rsidRPr="000E68D0">
        <w:rPr>
          <w:rFonts w:ascii="仿宋_GB2312" w:eastAsia="仿宋_GB2312" w:hAnsi="宋体" w:cs="Arial" w:hint="eastAsia"/>
          <w:sz w:val="24"/>
        </w:rPr>
        <w:t>与侧袋账户</w:t>
      </w:r>
      <w:proofErr w:type="gramEnd"/>
      <w:r w:rsidRPr="000E68D0">
        <w:rPr>
          <w:rFonts w:ascii="仿宋_GB2312" w:eastAsia="仿宋_GB2312" w:hAnsi="宋体" w:cs="Arial" w:hint="eastAsia"/>
          <w:sz w:val="24"/>
        </w:rPr>
        <w:t>有关的费用可以</w:t>
      </w:r>
      <w:proofErr w:type="gramStart"/>
      <w:r w:rsidRPr="000E68D0">
        <w:rPr>
          <w:rFonts w:ascii="仿宋_GB2312" w:eastAsia="仿宋_GB2312" w:hAnsi="宋体" w:cs="Arial" w:hint="eastAsia"/>
          <w:sz w:val="24"/>
        </w:rPr>
        <w:t>从侧袋账户</w:t>
      </w:r>
      <w:proofErr w:type="gramEnd"/>
      <w:r w:rsidRPr="000E68D0">
        <w:rPr>
          <w:rFonts w:ascii="仿宋_GB2312" w:eastAsia="仿宋_GB2312" w:hAnsi="宋体" w:cs="Arial" w:hint="eastAsia"/>
          <w:sz w:val="24"/>
        </w:rPr>
        <w:t>中列支，但应</w:t>
      </w:r>
      <w:proofErr w:type="gramStart"/>
      <w:r w:rsidRPr="000E68D0">
        <w:rPr>
          <w:rFonts w:ascii="仿宋_GB2312" w:eastAsia="仿宋_GB2312" w:hAnsi="宋体" w:cs="Arial" w:hint="eastAsia"/>
          <w:sz w:val="24"/>
        </w:rPr>
        <w:lastRenderedPageBreak/>
        <w:t>待侧袋</w:t>
      </w:r>
      <w:proofErr w:type="gramEnd"/>
      <w:r w:rsidRPr="000E68D0">
        <w:rPr>
          <w:rFonts w:ascii="仿宋_GB2312" w:eastAsia="仿宋_GB2312" w:hAnsi="宋体" w:cs="Arial" w:hint="eastAsia"/>
          <w:sz w:val="24"/>
        </w:rPr>
        <w:t>账户资产变现后方可列支，有关费用可酌情收取或减免，但不得收取管理费，详见招募说明书的规定。</w:t>
      </w:r>
    </w:p>
    <w:p w14:paraId="21313C7A"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78E9C698" w14:textId="77777777" w:rsidR="00505116" w:rsidRPr="000E68D0" w:rsidRDefault="00690C57">
      <w:pPr>
        <w:pStyle w:val="2"/>
        <w:spacing w:before="240" w:after="240" w:line="276" w:lineRule="auto"/>
        <w:jc w:val="center"/>
        <w:rPr>
          <w:rFonts w:ascii="仿宋_GB2312" w:eastAsia="仿宋_GB2312"/>
          <w:sz w:val="30"/>
        </w:rPr>
      </w:pPr>
      <w:bookmarkStart w:id="91" w:name="_Toc151105000"/>
      <w:r w:rsidRPr="000E68D0">
        <w:rPr>
          <w:rFonts w:ascii="仿宋_GB2312" w:eastAsia="仿宋_GB2312" w:hint="eastAsia"/>
          <w:sz w:val="30"/>
        </w:rPr>
        <w:t>十二、基金份额持有人名册的保管</w:t>
      </w:r>
      <w:bookmarkEnd w:id="91"/>
    </w:p>
    <w:p w14:paraId="3B74B0DA" w14:textId="03448B9B"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7810DF" w:rsidRPr="000E68D0">
        <w:rPr>
          <w:rFonts w:ascii="仿宋_GB2312" w:eastAsia="仿宋_GB2312" w:hAnsi="宋体" w:cs="Arial" w:hint="eastAsia"/>
          <w:sz w:val="24"/>
        </w:rPr>
        <w:t>限</w:t>
      </w:r>
      <w:r w:rsidR="00390555" w:rsidRPr="000E68D0">
        <w:rPr>
          <w:rFonts w:ascii="仿宋_GB2312" w:eastAsia="仿宋_GB2312" w:hAnsi="宋体" w:cs="Arial" w:hint="eastAsia"/>
          <w:sz w:val="24"/>
        </w:rPr>
        <w:t>不低于法律法规规定的最低年限</w:t>
      </w:r>
      <w:r w:rsidRPr="000E68D0">
        <w:rPr>
          <w:rFonts w:ascii="仿宋_GB2312" w:eastAsia="仿宋_GB2312" w:hAnsi="宋体" w:cs="Arial" w:hint="eastAsia"/>
          <w:sz w:val="24"/>
        </w:rPr>
        <w:t>。如不能妥善保管，则按相关法规承担责任。</w:t>
      </w:r>
    </w:p>
    <w:p w14:paraId="06B169F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在基金托管人要求或编制中期报告和年</w:t>
      </w:r>
      <w:r w:rsidR="007810DF" w:rsidRPr="000E68D0">
        <w:rPr>
          <w:rFonts w:ascii="仿宋_GB2312" w:eastAsia="仿宋_GB2312" w:hAnsi="宋体" w:cs="Arial" w:hint="eastAsia"/>
          <w:sz w:val="24"/>
        </w:rPr>
        <w:t>度</w:t>
      </w:r>
      <w:r w:rsidRPr="000E68D0">
        <w:rPr>
          <w:rFonts w:ascii="仿宋_GB2312" w:eastAsia="仿宋_GB2312" w:hAnsi="宋体" w:cs="Arial" w:hint="eastAsia"/>
          <w:sz w:val="24"/>
        </w:rPr>
        <w:t>报</w:t>
      </w:r>
      <w:r w:rsidR="007810DF" w:rsidRPr="000E68D0">
        <w:rPr>
          <w:rFonts w:ascii="仿宋_GB2312" w:eastAsia="仿宋_GB2312" w:hAnsi="宋体" w:cs="Arial" w:hint="eastAsia"/>
          <w:sz w:val="24"/>
        </w:rPr>
        <w:t>告</w:t>
      </w:r>
      <w:r w:rsidRPr="000E68D0">
        <w:rPr>
          <w:rFonts w:ascii="仿宋_GB2312" w:eastAsia="仿宋_GB2312" w:hAnsi="宋体" w:cs="Arial" w:hint="eastAsia"/>
          <w:sz w:val="24"/>
        </w:rPr>
        <w:t>前，基金管理人应将有关资料送交基金托管人，不得无故拒绝或延误提供，并保证其真实性、准确性和完整性。</w:t>
      </w:r>
      <w:r w:rsidRPr="000E68D0">
        <w:rPr>
          <w:rFonts w:ascii="仿宋_GB2312" w:eastAsia="仿宋_GB2312" w:hAnsi="宋体" w:hint="eastAsia"/>
          <w:kern w:val="0"/>
          <w:sz w:val="24"/>
        </w:rPr>
        <w:t>基金托管人不得将所保管的基金份额持有人名册用于基金托管业务以外的其他用途，并应遵守保密义务。</w:t>
      </w:r>
    </w:p>
    <w:p w14:paraId="5F3A3F14"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5892DE1F" w14:textId="77777777" w:rsidR="00505116" w:rsidRPr="000E68D0" w:rsidRDefault="00690C57">
      <w:pPr>
        <w:pStyle w:val="2"/>
        <w:spacing w:before="240" w:after="240" w:line="276" w:lineRule="auto"/>
        <w:jc w:val="center"/>
        <w:rPr>
          <w:rFonts w:ascii="仿宋_GB2312" w:eastAsia="仿宋_GB2312"/>
          <w:sz w:val="30"/>
        </w:rPr>
      </w:pPr>
      <w:bookmarkStart w:id="92" w:name="_Toc151105001"/>
      <w:r w:rsidRPr="000E68D0">
        <w:rPr>
          <w:rFonts w:ascii="仿宋_GB2312" w:eastAsia="仿宋_GB2312" w:hint="eastAsia"/>
          <w:sz w:val="30"/>
        </w:rPr>
        <w:t>十三、基金有关文件档案的保存</w:t>
      </w:r>
      <w:bookmarkEnd w:id="92"/>
    </w:p>
    <w:p w14:paraId="15602EC5"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（一）档案保存</w:t>
      </w:r>
    </w:p>
    <w:p w14:paraId="25EEF77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90555" w:rsidRPr="000E68D0">
        <w:rPr>
          <w:rFonts w:ascii="仿宋_GB2312" w:eastAsia="仿宋_GB2312" w:hAnsi="宋体" w:cs="Arial" w:hint="eastAsia"/>
          <w:sz w:val="24"/>
        </w:rPr>
        <w:t>不低于法律法规规定的最低年限</w:t>
      </w:r>
      <w:r w:rsidRPr="000E68D0">
        <w:rPr>
          <w:rFonts w:ascii="仿宋_GB2312" w:eastAsia="仿宋_GB2312" w:hAnsi="宋体" w:cs="Arial" w:hint="eastAsia"/>
          <w:sz w:val="24"/>
        </w:rPr>
        <w:t>。</w:t>
      </w:r>
    </w:p>
    <w:p w14:paraId="5B973C2F"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（二）合同档案的建立</w:t>
      </w:r>
    </w:p>
    <w:p w14:paraId="53ECAF4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1.基金管理人签署重大合同文本后，应及时将合同文本正本送达基金托管人处。</w:t>
      </w:r>
    </w:p>
    <w:p w14:paraId="3A0C958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2.基金管理人应及时将与本基金账务处理、资金划拨等有关的合同、协议传真基金托管人。</w:t>
      </w:r>
    </w:p>
    <w:p w14:paraId="0FD11D02"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（三）变更与协助</w:t>
      </w:r>
    </w:p>
    <w:p w14:paraId="64529BB5" w14:textId="77777777" w:rsidR="00505116" w:rsidRPr="000E68D0" w:rsidRDefault="00690C57">
      <w:pPr>
        <w:adjustRightInd w:val="0"/>
        <w:snapToGrid w:val="0"/>
        <w:spacing w:before="240" w:after="240" w:line="276" w:lineRule="auto"/>
        <w:ind w:firstLineChars="200" w:firstLine="480"/>
        <w:rPr>
          <w:rFonts w:ascii="仿宋_GB2312" w:eastAsia="仿宋_GB2312"/>
          <w:b/>
          <w:bCs/>
          <w:sz w:val="30"/>
          <w:szCs w:val="30"/>
        </w:rPr>
      </w:pPr>
      <w:proofErr w:type="gramStart"/>
      <w:r w:rsidRPr="000E68D0">
        <w:rPr>
          <w:rFonts w:ascii="仿宋_GB2312" w:eastAsia="仿宋_GB2312" w:hAnsi="宋体" w:cs="Arial" w:hint="eastAsia"/>
          <w:sz w:val="24"/>
        </w:rPr>
        <w:t>若基金</w:t>
      </w:r>
      <w:proofErr w:type="gramEnd"/>
      <w:r w:rsidRPr="000E68D0">
        <w:rPr>
          <w:rFonts w:ascii="仿宋_GB2312" w:eastAsia="仿宋_GB2312" w:hAnsi="宋体" w:cs="Arial" w:hint="eastAsia"/>
          <w:sz w:val="24"/>
        </w:rPr>
        <w:t>管理人/基金托管人发生变更，未变更的一方有义务协助变更后的接任人接收相应文件。</w:t>
      </w:r>
    </w:p>
    <w:p w14:paraId="502C619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（四）基金管理人和基金托管人应按各自职责完整保存原始凭证、记账凭证、</w:t>
      </w:r>
      <w:r w:rsidRPr="000E68D0">
        <w:rPr>
          <w:rFonts w:ascii="仿宋_GB2312" w:eastAsia="仿宋_GB2312" w:hAnsi="宋体" w:cs="Arial" w:hint="eastAsia"/>
          <w:sz w:val="24"/>
        </w:rPr>
        <w:lastRenderedPageBreak/>
        <w:t>基金账册、交易记录和重要合同等，承担保密义务并保存</w:t>
      </w:r>
      <w:r w:rsidR="00390555" w:rsidRPr="000E68D0">
        <w:rPr>
          <w:rFonts w:ascii="仿宋_GB2312" w:eastAsia="仿宋_GB2312" w:hAnsi="宋体" w:cs="Arial" w:hint="eastAsia"/>
          <w:sz w:val="24"/>
        </w:rPr>
        <w:t>不低于法律法规规定的最低年限</w:t>
      </w:r>
      <w:r w:rsidRPr="000E68D0">
        <w:rPr>
          <w:rFonts w:ascii="仿宋_GB2312" w:eastAsia="仿宋_GB2312" w:hAnsi="宋体" w:cs="Arial" w:hint="eastAsia"/>
          <w:sz w:val="24"/>
        </w:rPr>
        <w:t>。</w:t>
      </w:r>
    </w:p>
    <w:p w14:paraId="51A9D5B2" w14:textId="77777777" w:rsidR="00505116" w:rsidRPr="000E68D0" w:rsidRDefault="00505116">
      <w:pPr>
        <w:adjustRightInd w:val="0"/>
        <w:snapToGrid w:val="0"/>
        <w:spacing w:before="240" w:after="240" w:line="276" w:lineRule="auto"/>
        <w:rPr>
          <w:rFonts w:ascii="仿宋_GB2312" w:eastAsia="仿宋_GB2312"/>
          <w:sz w:val="30"/>
          <w:szCs w:val="30"/>
        </w:rPr>
      </w:pPr>
    </w:p>
    <w:p w14:paraId="7B77EBB2" w14:textId="77777777" w:rsidR="00505116" w:rsidRPr="000E68D0" w:rsidRDefault="00690C57">
      <w:pPr>
        <w:pStyle w:val="2"/>
        <w:spacing w:before="240" w:after="240" w:line="276" w:lineRule="auto"/>
        <w:jc w:val="center"/>
        <w:rPr>
          <w:rFonts w:ascii="仿宋_GB2312" w:eastAsia="仿宋_GB2312"/>
          <w:sz w:val="30"/>
        </w:rPr>
      </w:pPr>
      <w:bookmarkStart w:id="93" w:name="_Toc151105002"/>
      <w:r w:rsidRPr="000E68D0">
        <w:rPr>
          <w:rFonts w:ascii="仿宋_GB2312" w:eastAsia="仿宋_GB2312" w:hint="eastAsia"/>
          <w:sz w:val="30"/>
        </w:rPr>
        <w:t>十四、基金管理人和基金托管人的更换</w:t>
      </w:r>
      <w:bookmarkEnd w:id="93"/>
    </w:p>
    <w:p w14:paraId="429A0A4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（一）基金管理人职责终止的情形</w:t>
      </w:r>
    </w:p>
    <w:p w14:paraId="2A89B83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1.基金管理人职责终止的情形</w:t>
      </w:r>
    </w:p>
    <w:p w14:paraId="006BD43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有下列情形之一的，基金管理人职责终止：</w:t>
      </w:r>
    </w:p>
    <w:p w14:paraId="43B9267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(1)被依法取消基金管理资格；</w:t>
      </w:r>
    </w:p>
    <w:p w14:paraId="3105469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(2)被基金份额持有人大会解任；</w:t>
      </w:r>
    </w:p>
    <w:p w14:paraId="327236B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(3)依法解散、被依法撤销或被依法宣告破产；</w:t>
      </w:r>
    </w:p>
    <w:p w14:paraId="62A91FB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(4)法律法规及中国证监会规定的和《基金合同》约定的其他情形。</w:t>
      </w:r>
    </w:p>
    <w:p w14:paraId="0D3242D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2.基金管理人的更换程序</w:t>
      </w:r>
    </w:p>
    <w:p w14:paraId="5C39FA2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更换基金管理人必须依照如下程序进行：</w:t>
      </w:r>
    </w:p>
    <w:p w14:paraId="373EAD2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(1)提名：</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管理人由基金托管人或由单独或合计持有10%以上（含10%）基金份额的基金份额持有人提名；</w:t>
      </w:r>
    </w:p>
    <w:p w14:paraId="7A852B6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1DEC26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(3)临时基金管理人：</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管理人产生之前，由中国证监会指定临时基金管理人；</w:t>
      </w:r>
    </w:p>
    <w:p w14:paraId="39D55F1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(4)备案：基金份额持有人大会更换基金管理人的决议须报中国证监会备案；</w:t>
      </w:r>
    </w:p>
    <w:p w14:paraId="49AE7FA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(5)公告：基金管理人更换后，由基金托管人在更换基金管理人的基金份额持有人大会决议生效后依照《信息披露办法》的有关规定在</w:t>
      </w:r>
      <w:r w:rsidR="0084425E" w:rsidRPr="000E68D0">
        <w:rPr>
          <w:rFonts w:ascii="仿宋_GB2312" w:eastAsia="仿宋_GB2312" w:hAnsi="宋体" w:cs="Arial" w:hint="eastAsia"/>
          <w:bCs/>
          <w:sz w:val="24"/>
        </w:rPr>
        <w:t>规</w:t>
      </w:r>
      <w:r w:rsidRPr="000E68D0">
        <w:rPr>
          <w:rFonts w:ascii="仿宋_GB2312" w:eastAsia="仿宋_GB2312" w:hAnsi="宋体" w:cs="Arial" w:hint="eastAsia"/>
          <w:bCs/>
          <w:sz w:val="24"/>
        </w:rPr>
        <w:t>定媒介公告</w:t>
      </w:r>
      <w:r w:rsidR="007810DF" w:rsidRPr="000E68D0">
        <w:rPr>
          <w:rFonts w:ascii="仿宋_GB2312" w:eastAsia="仿宋_GB2312" w:hAnsi="宋体" w:cs="Arial" w:hint="eastAsia"/>
          <w:bCs/>
          <w:sz w:val="24"/>
        </w:rPr>
        <w:t>；</w:t>
      </w:r>
    </w:p>
    <w:p w14:paraId="4663F24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(6)交接：基金管理人职责终止的，基金管理人应妥善保管基金管理业务资料，及时向临时基金管理人或</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管理人办理基金管理业务的移交手续，临时基金管理人或</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管理人应及时接收。</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管理人或临时基金管理人应与</w:t>
      </w:r>
      <w:r w:rsidRPr="000E68D0">
        <w:rPr>
          <w:rFonts w:ascii="仿宋_GB2312" w:eastAsia="仿宋_GB2312" w:hAnsi="宋体" w:cs="Arial" w:hint="eastAsia"/>
          <w:bCs/>
          <w:sz w:val="24"/>
        </w:rPr>
        <w:lastRenderedPageBreak/>
        <w:t>基金托管人核对基金资产总值和净值；</w:t>
      </w:r>
    </w:p>
    <w:p w14:paraId="035241A6" w14:textId="77AC65AA"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(7)审计：基金管理人职责终止的，应当</w:t>
      </w:r>
      <w:r w:rsidR="00EC59FE" w:rsidRPr="000E68D0">
        <w:rPr>
          <w:rFonts w:ascii="仿宋_GB2312" w:eastAsia="仿宋_GB2312" w:hAnsi="宋体" w:cs="Arial" w:hint="eastAsia"/>
          <w:bCs/>
          <w:sz w:val="24"/>
        </w:rPr>
        <w:t>聘请符合《中华人民共和国证券法》规定的</w:t>
      </w:r>
      <w:r w:rsidRPr="000E68D0">
        <w:rPr>
          <w:rFonts w:ascii="仿宋_GB2312" w:eastAsia="仿宋_GB2312" w:hAnsi="宋体" w:cs="Arial" w:hint="eastAsia"/>
          <w:bCs/>
          <w:sz w:val="24"/>
        </w:rPr>
        <w:t>会计师事务所对基金财产进行审计，并将审计结果予以公告，同时报中国证监会备案，审计费用从基金财产中列支；</w:t>
      </w:r>
    </w:p>
    <w:p w14:paraId="05AD251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(8)基金名称变更：基金管理人更换后，如果原任或</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管理人要求，应按其要求替换或删除基金名称中与</w:t>
      </w:r>
      <w:proofErr w:type="gramStart"/>
      <w:r w:rsidRPr="000E68D0">
        <w:rPr>
          <w:rFonts w:ascii="仿宋_GB2312" w:eastAsia="仿宋_GB2312" w:hAnsi="宋体" w:cs="Arial" w:hint="eastAsia"/>
          <w:bCs/>
          <w:sz w:val="24"/>
        </w:rPr>
        <w:t>原基金</w:t>
      </w:r>
      <w:proofErr w:type="gramEnd"/>
      <w:r w:rsidRPr="000E68D0">
        <w:rPr>
          <w:rFonts w:ascii="仿宋_GB2312" w:eastAsia="仿宋_GB2312" w:hAnsi="宋体" w:cs="Arial" w:hint="eastAsia"/>
          <w:bCs/>
          <w:sz w:val="24"/>
        </w:rPr>
        <w:t>管理人有关的名称字样。</w:t>
      </w:r>
    </w:p>
    <w:p w14:paraId="5E74CE8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（二）基金托管人职责终止的情形</w:t>
      </w:r>
    </w:p>
    <w:p w14:paraId="422311F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1.基金托管人职责终止的情形</w:t>
      </w:r>
    </w:p>
    <w:p w14:paraId="5674AC2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有下列情形之一的，基金托管人职责终止：</w:t>
      </w:r>
    </w:p>
    <w:p w14:paraId="54FD77A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(1)被依法取消基金托管资格；</w:t>
      </w:r>
    </w:p>
    <w:p w14:paraId="1AE4754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(2)被基金份额持有人大会解任；</w:t>
      </w:r>
    </w:p>
    <w:p w14:paraId="4973C0F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(3)依法解散、被依法撤销或被依法宣告破产；</w:t>
      </w:r>
    </w:p>
    <w:p w14:paraId="78BEA8F5"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(4)法律法规及中国证监会规定的和《基金合同》约定的其他情形。</w:t>
      </w:r>
    </w:p>
    <w:p w14:paraId="4564A80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2.基金托管人的更换程序</w:t>
      </w:r>
    </w:p>
    <w:p w14:paraId="418FEE0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(1)提名：</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托管人由基金管理人或由单独或合计持有10%以上（含10%）基金份额的基金份额持有人提名；</w:t>
      </w:r>
    </w:p>
    <w:p w14:paraId="49ABBE0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CA564C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(3)临时基金托管人：</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托管人产生之前，由中国证监会指定临时基金托管人；</w:t>
      </w:r>
    </w:p>
    <w:p w14:paraId="5017675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(4)备案：基金份额持有人大会更换基金托管人的决议须报中国证监会备案；</w:t>
      </w:r>
    </w:p>
    <w:p w14:paraId="2CE4D1B8"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(5)公告：基金托管人更换后，由基金管理人在更换基金托管人的基金份额持有人大会决议生效后依照《信息披露办法》的有关规定在</w:t>
      </w:r>
      <w:r w:rsidR="0084425E" w:rsidRPr="000E68D0">
        <w:rPr>
          <w:rFonts w:ascii="仿宋_GB2312" w:eastAsia="仿宋_GB2312" w:hAnsi="宋体" w:cs="Arial" w:hint="eastAsia"/>
          <w:bCs/>
          <w:sz w:val="24"/>
        </w:rPr>
        <w:t>规</w:t>
      </w:r>
      <w:r w:rsidRPr="000E68D0">
        <w:rPr>
          <w:rFonts w:ascii="仿宋_GB2312" w:eastAsia="仿宋_GB2312" w:hAnsi="宋体" w:cs="Arial" w:hint="eastAsia"/>
          <w:bCs/>
          <w:sz w:val="24"/>
        </w:rPr>
        <w:t>定媒介公告；</w:t>
      </w:r>
    </w:p>
    <w:p w14:paraId="614E5A8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(6)交接：基金托管人职责终止的，应当妥善保管基金财产和基金托管业务资料，及时办理基金财产和基金托管业务的移交手续，</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托管人或者临时基金托管人应当及时接收。</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 xml:space="preserve">托管人或临时基金托管人应与基金管理人核对基金资产总值和净值； </w:t>
      </w:r>
    </w:p>
    <w:p w14:paraId="15F2FED4" w14:textId="2BC518FB"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lastRenderedPageBreak/>
        <w:t>(7)审计：基金托管人职责终止的，应当</w:t>
      </w:r>
      <w:r w:rsidR="00EC59FE" w:rsidRPr="000E68D0">
        <w:rPr>
          <w:rFonts w:ascii="仿宋_GB2312" w:eastAsia="仿宋_GB2312" w:hAnsi="宋体" w:cs="Arial" w:hint="eastAsia"/>
          <w:bCs/>
          <w:sz w:val="24"/>
        </w:rPr>
        <w:t>聘请符合《中华人民共和国证券法》规定的</w:t>
      </w:r>
      <w:r w:rsidRPr="000E68D0">
        <w:rPr>
          <w:rFonts w:ascii="仿宋_GB2312" w:eastAsia="仿宋_GB2312" w:hAnsi="宋体" w:cs="Arial" w:hint="eastAsia"/>
          <w:bCs/>
          <w:sz w:val="24"/>
        </w:rPr>
        <w:t>会计师事务所对基金财产进行审计，并将审计结果予以公告，同时报中国证监会备案，审计费用从基金财产中列支。</w:t>
      </w:r>
    </w:p>
    <w:p w14:paraId="2626B71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（三）基金管理人与基金托管人同时更换的条件和程序</w:t>
      </w:r>
    </w:p>
    <w:p w14:paraId="364A2640" w14:textId="435C2715"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(1)提名：如果基金管理人和基金托管人同时更换，由单独或合计持有10%以上（含10%）</w:t>
      </w:r>
      <w:r w:rsidR="00C01C05" w:rsidRPr="000E68D0">
        <w:rPr>
          <w:rFonts w:ascii="仿宋_GB2312" w:eastAsia="仿宋_GB2312" w:hAnsi="宋体" w:cs="Arial" w:hint="eastAsia"/>
          <w:bCs/>
          <w:sz w:val="24"/>
        </w:rPr>
        <w:t>基金份额</w:t>
      </w:r>
      <w:r w:rsidRPr="000E68D0">
        <w:rPr>
          <w:rFonts w:ascii="仿宋_GB2312" w:eastAsia="仿宋_GB2312" w:hAnsi="宋体" w:cs="Arial" w:hint="eastAsia"/>
          <w:bCs/>
          <w:sz w:val="24"/>
        </w:rPr>
        <w:t>的基金份额持有人提名新的基金管理人和基金托管人；</w:t>
      </w:r>
    </w:p>
    <w:p w14:paraId="55AA30A0"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(2)基金管理人和基金托管人的更换分别按上述程序进行；</w:t>
      </w:r>
    </w:p>
    <w:p w14:paraId="7D185FF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(3)公告：</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管理人和</w:t>
      </w:r>
      <w:proofErr w:type="gramStart"/>
      <w:r w:rsidRPr="000E68D0">
        <w:rPr>
          <w:rFonts w:ascii="仿宋_GB2312" w:eastAsia="仿宋_GB2312" w:hAnsi="宋体" w:cs="Arial" w:hint="eastAsia"/>
          <w:bCs/>
          <w:sz w:val="24"/>
        </w:rPr>
        <w:t>新任基金</w:t>
      </w:r>
      <w:proofErr w:type="gramEnd"/>
      <w:r w:rsidRPr="000E68D0">
        <w:rPr>
          <w:rFonts w:ascii="仿宋_GB2312" w:eastAsia="仿宋_GB2312" w:hAnsi="宋体" w:cs="Arial" w:hint="eastAsia"/>
          <w:bCs/>
          <w:sz w:val="24"/>
        </w:rPr>
        <w:t>托管人应在更换基金管理人和基金托管人的基金份额持有人大会决议生效后依照《信息披露办法》的有关规定在</w:t>
      </w:r>
      <w:r w:rsidR="0084425E" w:rsidRPr="000E68D0">
        <w:rPr>
          <w:rFonts w:ascii="仿宋_GB2312" w:eastAsia="仿宋_GB2312" w:hAnsi="宋体" w:cs="Arial" w:hint="eastAsia"/>
          <w:bCs/>
          <w:sz w:val="24"/>
        </w:rPr>
        <w:t>规</w:t>
      </w:r>
      <w:r w:rsidRPr="000E68D0">
        <w:rPr>
          <w:rFonts w:ascii="仿宋_GB2312" w:eastAsia="仿宋_GB2312" w:hAnsi="宋体" w:cs="Arial" w:hint="eastAsia"/>
          <w:bCs/>
          <w:sz w:val="24"/>
        </w:rPr>
        <w:t>定媒介上联合公告。</w:t>
      </w:r>
    </w:p>
    <w:p w14:paraId="2B273C09" w14:textId="4AE31F6A"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（四）</w:t>
      </w:r>
      <w:proofErr w:type="gramStart"/>
      <w:r w:rsidRPr="000E68D0">
        <w:rPr>
          <w:rFonts w:ascii="仿宋_GB2312" w:eastAsia="仿宋_GB2312" w:hAnsi="宋体" w:cs="Arial" w:hint="eastAsia"/>
          <w:sz w:val="24"/>
        </w:rPr>
        <w:t>新任基金</w:t>
      </w:r>
      <w:proofErr w:type="gramEnd"/>
      <w:r w:rsidRPr="000E68D0">
        <w:rPr>
          <w:rFonts w:ascii="仿宋_GB2312" w:eastAsia="仿宋_GB2312" w:hAnsi="宋体" w:cs="Arial" w:hint="eastAsia"/>
          <w:sz w:val="24"/>
        </w:rPr>
        <w:t>管理人或临时基金管理人接收基金管理业务，或</w:t>
      </w:r>
      <w:proofErr w:type="gramStart"/>
      <w:r w:rsidRPr="000E68D0">
        <w:rPr>
          <w:rFonts w:ascii="仿宋_GB2312" w:eastAsia="仿宋_GB2312" w:hAnsi="宋体" w:cs="Arial" w:hint="eastAsia"/>
          <w:sz w:val="24"/>
        </w:rPr>
        <w:t>新任基金</w:t>
      </w:r>
      <w:proofErr w:type="gramEnd"/>
      <w:r w:rsidRPr="000E68D0">
        <w:rPr>
          <w:rFonts w:ascii="仿宋_GB2312" w:eastAsia="仿宋_GB2312" w:hAnsi="宋体" w:cs="Arial" w:hint="eastAsia"/>
          <w:sz w:val="24"/>
        </w:rPr>
        <w:t>托管人或临时基金托管人接收基金财产和基金托管业务前，</w:t>
      </w:r>
      <w:proofErr w:type="gramStart"/>
      <w:r w:rsidRPr="000E68D0">
        <w:rPr>
          <w:rFonts w:ascii="仿宋_GB2312" w:eastAsia="仿宋_GB2312" w:hAnsi="宋体" w:cs="Arial" w:hint="eastAsia"/>
          <w:sz w:val="24"/>
        </w:rPr>
        <w:t>原基金</w:t>
      </w:r>
      <w:proofErr w:type="gramEnd"/>
      <w:r w:rsidRPr="000E68D0">
        <w:rPr>
          <w:rFonts w:ascii="仿宋_GB2312" w:eastAsia="仿宋_GB2312" w:hAnsi="宋体" w:cs="Arial" w:hint="eastAsia"/>
          <w:sz w:val="24"/>
        </w:rPr>
        <w:t>管理人或</w:t>
      </w:r>
      <w:proofErr w:type="gramStart"/>
      <w:r w:rsidRPr="000E68D0">
        <w:rPr>
          <w:rFonts w:ascii="仿宋_GB2312" w:eastAsia="仿宋_GB2312" w:hAnsi="宋体" w:cs="Arial" w:hint="eastAsia"/>
          <w:sz w:val="24"/>
        </w:rPr>
        <w:t>原基金</w:t>
      </w:r>
      <w:proofErr w:type="gramEnd"/>
      <w:r w:rsidRPr="000E68D0">
        <w:rPr>
          <w:rFonts w:ascii="仿宋_GB2312" w:eastAsia="仿宋_GB2312" w:hAnsi="宋体" w:cs="Arial" w:hint="eastAsia"/>
          <w:sz w:val="24"/>
        </w:rPr>
        <w:t>托管人应</w:t>
      </w:r>
      <w:r w:rsidR="00EB6CA7" w:rsidRPr="000E68D0">
        <w:rPr>
          <w:rFonts w:ascii="仿宋_GB2312" w:eastAsia="仿宋_GB2312" w:hAnsi="宋体" w:cs="Arial" w:hint="eastAsia"/>
          <w:sz w:val="24"/>
        </w:rPr>
        <w:t>依据法律法规和基金合同的规定</w:t>
      </w:r>
      <w:r w:rsidRPr="000E68D0">
        <w:rPr>
          <w:rFonts w:ascii="仿宋_GB2312" w:eastAsia="仿宋_GB2312" w:hAnsi="宋体" w:cs="Arial" w:hint="eastAsia"/>
          <w:sz w:val="24"/>
        </w:rPr>
        <w:t>继续履行相关职责，并保证不做出对基金份额持有人的利益造成损害的行为。</w:t>
      </w:r>
      <w:proofErr w:type="gramStart"/>
      <w:r w:rsidRPr="000E68D0">
        <w:rPr>
          <w:rFonts w:ascii="仿宋_GB2312" w:eastAsia="仿宋_GB2312" w:hAnsi="宋体" w:cs="Arial" w:hint="eastAsia"/>
          <w:sz w:val="24"/>
        </w:rPr>
        <w:t>原基金</w:t>
      </w:r>
      <w:proofErr w:type="gramEnd"/>
      <w:r w:rsidRPr="000E68D0">
        <w:rPr>
          <w:rFonts w:ascii="仿宋_GB2312" w:eastAsia="仿宋_GB2312" w:hAnsi="宋体" w:cs="Arial" w:hint="eastAsia"/>
          <w:sz w:val="24"/>
        </w:rPr>
        <w:t>管理人或</w:t>
      </w:r>
      <w:proofErr w:type="gramStart"/>
      <w:r w:rsidRPr="000E68D0">
        <w:rPr>
          <w:rFonts w:ascii="仿宋_GB2312" w:eastAsia="仿宋_GB2312" w:hAnsi="宋体" w:cs="Arial" w:hint="eastAsia"/>
          <w:sz w:val="24"/>
        </w:rPr>
        <w:t>原基金</w:t>
      </w:r>
      <w:proofErr w:type="gramEnd"/>
      <w:r w:rsidRPr="000E68D0">
        <w:rPr>
          <w:rFonts w:ascii="仿宋_GB2312" w:eastAsia="仿宋_GB2312" w:hAnsi="宋体" w:cs="Arial" w:hint="eastAsia"/>
          <w:sz w:val="24"/>
        </w:rPr>
        <w:t>托管人在继续履行相关职责期间，仍有权按照基金合同的规定收取基金管理费或基金托管费。</w:t>
      </w:r>
    </w:p>
    <w:p w14:paraId="1B36F7EB"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26D1B343" w14:textId="77777777" w:rsidR="00505116" w:rsidRPr="000E68D0" w:rsidRDefault="00690C57">
      <w:pPr>
        <w:pStyle w:val="2"/>
        <w:spacing w:before="240" w:after="240" w:line="276" w:lineRule="auto"/>
        <w:jc w:val="center"/>
        <w:rPr>
          <w:rFonts w:ascii="仿宋_GB2312" w:eastAsia="仿宋_GB2312"/>
          <w:sz w:val="30"/>
        </w:rPr>
      </w:pPr>
      <w:bookmarkStart w:id="94" w:name="_Toc151105003"/>
      <w:r w:rsidRPr="000E68D0">
        <w:rPr>
          <w:rFonts w:ascii="仿宋_GB2312" w:eastAsia="仿宋_GB2312" w:hint="eastAsia"/>
          <w:sz w:val="30"/>
        </w:rPr>
        <w:t>十五、禁止行为</w:t>
      </w:r>
      <w:bookmarkEnd w:id="94"/>
    </w:p>
    <w:p w14:paraId="55D6D05B"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本协议当事人禁止从事的行为，包括但不限于：</w:t>
      </w:r>
    </w:p>
    <w:p w14:paraId="2D0403AF"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（一）基金管理人、基金托管人将其固有财产或者他人财产混同于基金财产从事证券投资。</w:t>
      </w:r>
    </w:p>
    <w:p w14:paraId="0E0E1523"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（二）基金管理人不公平地对待其管理的不同基金财产，基金托管人不公平地对待其托管的不同基金财产。</w:t>
      </w:r>
    </w:p>
    <w:p w14:paraId="4D4D9AE8"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（三）基金管理人、基金托管人利用基金财产</w:t>
      </w:r>
      <w:r w:rsidR="007810DF" w:rsidRPr="000E68D0">
        <w:rPr>
          <w:rFonts w:ascii="仿宋_GB2312" w:eastAsia="仿宋_GB2312" w:hAnsi="宋体" w:cs="Arial" w:hint="eastAsia"/>
          <w:sz w:val="24"/>
        </w:rPr>
        <w:t>或职务之便</w:t>
      </w:r>
      <w:r w:rsidRPr="000E68D0">
        <w:rPr>
          <w:rFonts w:ascii="仿宋_GB2312" w:eastAsia="仿宋_GB2312" w:hAnsi="宋体" w:cs="Arial" w:hint="eastAsia"/>
          <w:sz w:val="24"/>
        </w:rPr>
        <w:t>为基金份额持有人以外的第三人牟取利益。</w:t>
      </w:r>
    </w:p>
    <w:p w14:paraId="353CA327"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（四）基金管理人、基金托管人向基金份额持有人违规承诺收益或者承担损失。</w:t>
      </w:r>
    </w:p>
    <w:p w14:paraId="724BE615"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（五）基金管理人、基金托管人对他人泄</w:t>
      </w:r>
      <w:r w:rsidR="007810DF" w:rsidRPr="000E68D0">
        <w:rPr>
          <w:rFonts w:ascii="仿宋_GB2312" w:eastAsia="仿宋_GB2312" w:hAnsi="宋体" w:cs="Arial" w:hint="eastAsia"/>
          <w:sz w:val="24"/>
        </w:rPr>
        <w:t>露</w:t>
      </w:r>
      <w:r w:rsidRPr="000E68D0">
        <w:rPr>
          <w:rFonts w:ascii="仿宋_GB2312" w:eastAsia="仿宋_GB2312" w:hAnsi="宋体" w:cs="Arial" w:hint="eastAsia"/>
          <w:sz w:val="24"/>
        </w:rPr>
        <w:t>基金运作和管理过程中任何尚未按法律法规规定的方式公开披露的信息。</w:t>
      </w:r>
    </w:p>
    <w:p w14:paraId="64C6A871"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（六）基金管理人在没有充足资金的情况下向基金托管人发出投资指令和赎回、分红资金的划拨指令，或违规向基金托管人发出指令。</w:t>
      </w:r>
    </w:p>
    <w:p w14:paraId="3438D7C9" w14:textId="5E63E259"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lastRenderedPageBreak/>
        <w:t>（七）基金管理人、基金托管人在行政上、财务上不独立</w:t>
      </w:r>
      <w:r w:rsidR="00EB6CA7" w:rsidRPr="000E68D0">
        <w:rPr>
          <w:rFonts w:ascii="仿宋_GB2312" w:eastAsia="仿宋_GB2312" w:hAnsi="宋体" w:cs="Arial" w:hint="eastAsia"/>
          <w:sz w:val="24"/>
        </w:rPr>
        <w:t>，</w:t>
      </w:r>
      <w:r w:rsidRPr="000E68D0">
        <w:rPr>
          <w:rFonts w:ascii="仿宋_GB2312" w:eastAsia="仿宋_GB2312" w:hAnsi="宋体" w:cs="Arial" w:hint="eastAsia"/>
          <w:sz w:val="24"/>
        </w:rPr>
        <w:t>其高级管理人员和其他从业人员相互兼职。</w:t>
      </w:r>
    </w:p>
    <w:p w14:paraId="03BB009B"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（八）基金托管人私自动用或处分基金财产，根据基金管理人的合法指令、《基金合同》或托管协议的规定进行处分的除外。</w:t>
      </w:r>
    </w:p>
    <w:p w14:paraId="3812F1D5" w14:textId="4154188F" w:rsidR="007810DF"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（九）基金财产用于下列投资或者活动：1.承销证券；2.违反规定向他人贷款或者提供担保；3.从事承担无限责任的投资；4.买卖其他基金份额，但是中国证监会另有规定的除外；5.向</w:t>
      </w:r>
      <w:r w:rsidR="00EB6CA7" w:rsidRPr="000E68D0">
        <w:rPr>
          <w:rFonts w:ascii="仿宋_GB2312" w:eastAsia="仿宋_GB2312" w:hAnsi="宋体" w:cs="Arial" w:hint="eastAsia"/>
          <w:sz w:val="24"/>
        </w:rPr>
        <w:t>本基金的</w:t>
      </w:r>
      <w:r w:rsidRPr="000E68D0">
        <w:rPr>
          <w:rFonts w:ascii="仿宋_GB2312" w:eastAsia="仿宋_GB2312" w:hAnsi="宋体" w:cs="Arial" w:hint="eastAsia"/>
          <w:sz w:val="24"/>
        </w:rPr>
        <w:t>基金管理人、基金托管人出资；6.从事内幕交易、操纵证券交易价格及其他不正当的证券交易活动；7.法律、行政法规和中国证监会规定禁止的其他活动。</w:t>
      </w:r>
    </w:p>
    <w:p w14:paraId="6775B8C4" w14:textId="77777777" w:rsidR="00EB6CA7" w:rsidRPr="000E68D0" w:rsidRDefault="00EB6CA7" w:rsidP="00EB6CA7">
      <w:pPr>
        <w:adjustRightInd w:val="0"/>
        <w:snapToGrid w:val="0"/>
        <w:spacing w:before="240" w:after="240" w:line="276" w:lineRule="auto"/>
        <w:ind w:firstLineChars="200" w:firstLine="480"/>
        <w:outlineLvl w:val="0"/>
        <w:rPr>
          <w:rFonts w:ascii="仿宋_GB2312" w:eastAsia="仿宋_GB2312"/>
          <w:sz w:val="24"/>
        </w:rPr>
      </w:pPr>
      <w:r w:rsidRPr="000E68D0">
        <w:rPr>
          <w:rFonts w:ascii="仿宋_GB2312" w:eastAsia="仿宋_GB2312" w:hAnsi="宋体" w:cs="Arial" w:hint="eastAsia"/>
          <w:sz w:val="24"/>
        </w:rPr>
        <w:t>法律法规或监管部门对基金合同所述投资比例、投资限制、组合限制、禁止行为等</w:t>
      </w:r>
      <w:proofErr w:type="gramStart"/>
      <w:r w:rsidRPr="000E68D0">
        <w:rPr>
          <w:rFonts w:ascii="仿宋_GB2312" w:eastAsia="仿宋_GB2312" w:hAnsi="宋体" w:cs="Arial" w:hint="eastAsia"/>
          <w:sz w:val="24"/>
        </w:rPr>
        <w:t>作出</w:t>
      </w:r>
      <w:proofErr w:type="gramEnd"/>
      <w:r w:rsidRPr="000E68D0">
        <w:rPr>
          <w:rFonts w:ascii="仿宋_GB2312" w:eastAsia="仿宋_GB2312" w:hAnsi="宋体" w:cs="Arial"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49D442B5" w14:textId="03129A1B" w:rsidR="00505116" w:rsidRPr="000E68D0" w:rsidRDefault="00505116">
      <w:pPr>
        <w:adjustRightInd w:val="0"/>
        <w:snapToGrid w:val="0"/>
        <w:spacing w:before="240" w:after="240" w:line="276" w:lineRule="auto"/>
        <w:ind w:firstLineChars="200" w:firstLine="480"/>
        <w:outlineLvl w:val="0"/>
        <w:rPr>
          <w:rFonts w:ascii="仿宋_GB2312" w:eastAsia="仿宋_GB2312" w:hAnsi="宋体" w:cs="Arial"/>
          <w:sz w:val="24"/>
        </w:rPr>
      </w:pPr>
    </w:p>
    <w:p w14:paraId="6F0FFAC9"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（十）法律法规和《基金合同》禁止的其他行为，以及依照法律、行政法规有关规定，由</w:t>
      </w:r>
      <w:r w:rsidR="007810DF" w:rsidRPr="000E68D0">
        <w:rPr>
          <w:rFonts w:ascii="仿宋_GB2312" w:eastAsia="仿宋_GB2312" w:hAnsi="宋体" w:cs="Arial" w:hint="eastAsia"/>
          <w:sz w:val="24"/>
        </w:rPr>
        <w:t>中国证监会</w:t>
      </w:r>
      <w:r w:rsidRPr="000E68D0">
        <w:rPr>
          <w:rFonts w:ascii="仿宋_GB2312" w:eastAsia="仿宋_GB2312" w:hAnsi="宋体" w:cs="Arial" w:hint="eastAsia"/>
          <w:sz w:val="24"/>
        </w:rPr>
        <w:t>规定禁止基金管理人、基金托管人从事的其他行为。</w:t>
      </w:r>
    </w:p>
    <w:p w14:paraId="5314D379" w14:textId="77777777" w:rsidR="00505116" w:rsidRPr="000E68D0" w:rsidRDefault="00505116">
      <w:pPr>
        <w:adjustRightInd w:val="0"/>
        <w:snapToGrid w:val="0"/>
        <w:spacing w:before="240" w:after="240" w:line="276" w:lineRule="auto"/>
        <w:rPr>
          <w:rFonts w:ascii="仿宋_GB2312" w:eastAsia="仿宋_GB2312"/>
          <w:sz w:val="30"/>
          <w:szCs w:val="30"/>
        </w:rPr>
      </w:pPr>
    </w:p>
    <w:p w14:paraId="6101BCDF" w14:textId="77777777" w:rsidR="00505116" w:rsidRPr="000E68D0" w:rsidRDefault="00690C57">
      <w:pPr>
        <w:pStyle w:val="2"/>
        <w:spacing w:before="240" w:after="240" w:line="276" w:lineRule="auto"/>
        <w:jc w:val="center"/>
        <w:rPr>
          <w:rFonts w:ascii="仿宋_GB2312" w:eastAsia="仿宋_GB2312"/>
          <w:sz w:val="30"/>
        </w:rPr>
      </w:pPr>
      <w:bookmarkStart w:id="95" w:name="_Toc151105004"/>
      <w:r w:rsidRPr="000E68D0">
        <w:rPr>
          <w:rFonts w:ascii="仿宋_GB2312" w:eastAsia="仿宋_GB2312" w:hint="eastAsia"/>
          <w:sz w:val="30"/>
        </w:rPr>
        <w:t>十六、托管协议的变更、终止与基金财产的清算</w:t>
      </w:r>
      <w:bookmarkEnd w:id="95"/>
    </w:p>
    <w:p w14:paraId="1AB790C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（一）托管协议的变更程序</w:t>
      </w:r>
    </w:p>
    <w:p w14:paraId="0F39ED00" w14:textId="77777777" w:rsidR="00505116" w:rsidRPr="000E68D0" w:rsidRDefault="00690C57">
      <w:pPr>
        <w:adjustRightInd w:val="0"/>
        <w:snapToGrid w:val="0"/>
        <w:spacing w:before="240" w:after="240" w:line="276" w:lineRule="auto"/>
        <w:ind w:firstLineChars="200" w:firstLine="480"/>
        <w:rPr>
          <w:rFonts w:ascii="仿宋_GB2312" w:eastAsia="仿宋_GB2312"/>
          <w:sz w:val="30"/>
          <w:szCs w:val="30"/>
        </w:rPr>
      </w:pPr>
      <w:r w:rsidRPr="000E68D0">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w:t>
      </w:r>
    </w:p>
    <w:p w14:paraId="3C45D026"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（二）托管协议终止的情形</w:t>
      </w:r>
    </w:p>
    <w:p w14:paraId="5D4F0FA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1.《基金合同》终止；</w:t>
      </w:r>
    </w:p>
    <w:p w14:paraId="3D186F4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2.基金托管人解散、依法被撤销、破产或由其他基金托管人接管基金资产；</w:t>
      </w:r>
    </w:p>
    <w:p w14:paraId="6D72E3E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3.基金管理人解散、依法被撤销、破产或由其他基金管理人接管基金管理权；</w:t>
      </w:r>
    </w:p>
    <w:p w14:paraId="6B9E8D6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4.发生法律法规或《基金合同》规定的终止事项。</w:t>
      </w:r>
    </w:p>
    <w:p w14:paraId="3CA2A85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（三）基金财产的清算</w:t>
      </w:r>
    </w:p>
    <w:p w14:paraId="4721E7CE" w14:textId="2D458075"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1.基金财产清算小组：自出现基金合同的终止事由之日起30个工作日内成立</w:t>
      </w:r>
      <w:r w:rsidR="00EB6CA7" w:rsidRPr="000E68D0">
        <w:rPr>
          <w:rFonts w:ascii="仿宋_GB2312" w:eastAsia="仿宋_GB2312" w:hAnsi="宋体" w:cs="Arial" w:hint="eastAsia"/>
          <w:bCs/>
          <w:sz w:val="24"/>
        </w:rPr>
        <w:t>基金财产</w:t>
      </w:r>
      <w:r w:rsidRPr="000E68D0">
        <w:rPr>
          <w:rFonts w:ascii="仿宋_GB2312" w:eastAsia="仿宋_GB2312" w:hAnsi="宋体" w:cs="Arial" w:hint="eastAsia"/>
          <w:bCs/>
          <w:sz w:val="24"/>
        </w:rPr>
        <w:t>清算小组，基金管理人组织基金财产清算小组并在中国证监会的监督下进行基金清算。</w:t>
      </w:r>
    </w:p>
    <w:p w14:paraId="7AC6928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sz w:val="24"/>
        </w:rPr>
        <w:t>2.在基金财产清算小组接管基金财产之前，基金管理人和基金托管人应按照基金合同和托管协议的规定继续履行保护基金财产安全的职责。</w:t>
      </w:r>
    </w:p>
    <w:p w14:paraId="2EEFB32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3.基金财产清算小组组成：基金财产清算小组成员由基金管理人、基金托管人、</w:t>
      </w:r>
      <w:r w:rsidR="00390555" w:rsidRPr="000E68D0">
        <w:rPr>
          <w:rFonts w:ascii="仿宋_GB2312" w:eastAsia="仿宋_GB2312" w:hAnsi="宋体" w:cs="Arial" w:hint="eastAsia"/>
          <w:bCs/>
          <w:sz w:val="24"/>
        </w:rPr>
        <w:t>符合《中华人民共和国证券法》规定</w:t>
      </w:r>
      <w:r w:rsidRPr="000E68D0">
        <w:rPr>
          <w:rFonts w:ascii="仿宋_GB2312" w:eastAsia="仿宋_GB2312" w:hAnsi="宋体" w:cs="Arial" w:hint="eastAsia"/>
          <w:bCs/>
          <w:sz w:val="24"/>
        </w:rPr>
        <w:t>的注册会计师、律师组成。基金财产清算小组可以聘用必要的工作人员。</w:t>
      </w:r>
    </w:p>
    <w:p w14:paraId="3CB80FD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4.基金财产清算小组职责：基金财产清算小组负责基金财产的保管、清理、估价、变现和分配。基金财产清算小组可以依法进行必要的民事活动。</w:t>
      </w:r>
    </w:p>
    <w:p w14:paraId="7C43B76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5.基金财产清算程序：</w:t>
      </w:r>
    </w:p>
    <w:p w14:paraId="4CE04C54" w14:textId="7870B022"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（1）基金财产清算小组成立后，由基金财产清算小组统一接管基金</w:t>
      </w:r>
      <w:r w:rsidR="00E236DB" w:rsidRPr="000E68D0">
        <w:rPr>
          <w:rFonts w:ascii="仿宋_GB2312" w:eastAsia="仿宋_GB2312" w:hAnsi="宋体" w:cs="Arial" w:hint="eastAsia"/>
          <w:bCs/>
          <w:sz w:val="24"/>
        </w:rPr>
        <w:t>财产</w:t>
      </w:r>
      <w:r w:rsidRPr="000E68D0">
        <w:rPr>
          <w:rFonts w:ascii="仿宋_GB2312" w:eastAsia="仿宋_GB2312" w:hAnsi="宋体" w:cs="Arial" w:hint="eastAsia"/>
          <w:bCs/>
          <w:sz w:val="24"/>
        </w:rPr>
        <w:t>；</w:t>
      </w:r>
    </w:p>
    <w:p w14:paraId="53DCFED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（2）对基金财产和债权债务进行清理和确认；</w:t>
      </w:r>
    </w:p>
    <w:p w14:paraId="602A680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（3）对基金财产进行估值和变现；</w:t>
      </w:r>
    </w:p>
    <w:p w14:paraId="55E4FB0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（4）制作清算报告；</w:t>
      </w:r>
    </w:p>
    <w:p w14:paraId="4C7E2CE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（5）聘请会计师事务所对清算报告进行外部审计，聘请律师事务所对清算报告出具法律意见书；</w:t>
      </w:r>
    </w:p>
    <w:p w14:paraId="1F8C939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（6）将清算报告报中国证监会备案并公告；</w:t>
      </w:r>
    </w:p>
    <w:p w14:paraId="6F062E17"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（7）对基金剩余财产进行分配。</w:t>
      </w:r>
    </w:p>
    <w:p w14:paraId="5B231154"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6.基金财产清算的期限为6个月，但因本基金所持证券的流动性受到限制而不能及时变现、结算保证金相关规定等客观因素，清算期限相应顺延。</w:t>
      </w:r>
    </w:p>
    <w:p w14:paraId="6B5CAFC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7、清算费用</w:t>
      </w:r>
    </w:p>
    <w:p w14:paraId="5DD09DEA"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清算费用是指基金财产清算小组在进行基金清算过程中发生的所有合理费用，清算费用由基金财产清算小组优先从基金财产中支付。</w:t>
      </w:r>
    </w:p>
    <w:p w14:paraId="2747096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8.基金财产清算剩余资产的分配：</w:t>
      </w:r>
    </w:p>
    <w:p w14:paraId="6B417841" w14:textId="0EBF6A91" w:rsidR="00505116" w:rsidRPr="000E68D0" w:rsidRDefault="00390555">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依据基金财产清算的分配方案，将基金财产清算后的全部剩余资产扣除基金</w:t>
      </w:r>
      <w:r w:rsidRPr="000E68D0">
        <w:rPr>
          <w:rFonts w:ascii="仿宋_GB2312" w:eastAsia="仿宋_GB2312" w:hAnsi="宋体" w:cs="Arial" w:hint="eastAsia"/>
          <w:sz w:val="24"/>
        </w:rPr>
        <w:lastRenderedPageBreak/>
        <w:t>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00E236DB" w:rsidRPr="000E68D0">
        <w:rPr>
          <w:rFonts w:ascii="仿宋_GB2312" w:eastAsia="仿宋_GB2312" w:hAnsi="宋体" w:cs="Arial" w:hint="eastAsia"/>
          <w:sz w:val="24"/>
        </w:rPr>
        <w:t>持有的每一份基金份额</w:t>
      </w:r>
      <w:r w:rsidRPr="000E68D0">
        <w:rPr>
          <w:rFonts w:ascii="仿宋_GB2312" w:eastAsia="仿宋_GB2312" w:hAnsi="宋体" w:cs="Arial" w:hint="eastAsia"/>
          <w:sz w:val="24"/>
        </w:rPr>
        <w:t>对基金财产清算后本类别基金份额的剩余资产具有同等的分配权。</w:t>
      </w:r>
    </w:p>
    <w:p w14:paraId="49AF57C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9.基金财产清算的公告</w:t>
      </w:r>
    </w:p>
    <w:p w14:paraId="66C6C14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bCs/>
          <w:sz w:val="24"/>
        </w:rPr>
      </w:pPr>
      <w:r w:rsidRPr="000E68D0">
        <w:rPr>
          <w:rFonts w:ascii="仿宋_GB2312" w:eastAsia="仿宋_GB2312" w:hAnsi="宋体" w:cs="Arial" w:hint="eastAsia"/>
          <w:bCs/>
          <w:sz w:val="24"/>
        </w:rPr>
        <w:t>清算过程中的有关重大事项应及时公告；基金财产清算报告</w:t>
      </w:r>
      <w:proofErr w:type="gramStart"/>
      <w:r w:rsidRPr="000E68D0">
        <w:rPr>
          <w:rFonts w:ascii="仿宋_GB2312" w:eastAsia="仿宋_GB2312" w:hAnsi="宋体" w:cs="Arial" w:hint="eastAsia"/>
          <w:bCs/>
          <w:sz w:val="24"/>
        </w:rPr>
        <w:t>经</w:t>
      </w:r>
      <w:r w:rsidR="008E20CF" w:rsidRPr="000E68D0">
        <w:rPr>
          <w:rFonts w:ascii="仿宋_GB2312" w:eastAsia="仿宋_GB2312" w:hAnsi="宋体" w:cs="Arial" w:hint="eastAsia"/>
          <w:bCs/>
          <w:sz w:val="24"/>
        </w:rPr>
        <w:t>符合</w:t>
      </w:r>
      <w:proofErr w:type="gramEnd"/>
      <w:r w:rsidR="008E20CF" w:rsidRPr="000E68D0">
        <w:rPr>
          <w:rFonts w:ascii="仿宋_GB2312" w:eastAsia="仿宋_GB2312" w:hAnsi="宋体" w:cs="Arial" w:hint="eastAsia"/>
          <w:bCs/>
          <w:sz w:val="24"/>
        </w:rPr>
        <w:t>《中华人民共和国证券法》规定</w:t>
      </w:r>
      <w:r w:rsidRPr="000E68D0">
        <w:rPr>
          <w:rFonts w:ascii="仿宋_GB2312" w:eastAsia="仿宋_GB2312" w:hAnsi="宋体" w:cs="Arial" w:hint="eastAsia"/>
          <w:bCs/>
          <w:sz w:val="24"/>
        </w:rPr>
        <w:t>的会计师事务所审计并由律师事务所出具法律意见书后报中国证监会备案并公告。基金财产清算报告报中国证监会备案后按照《信息披露办法》的规定由基金财产清算小组进行公告。</w:t>
      </w:r>
    </w:p>
    <w:p w14:paraId="71F2DBFF"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10.基金财产清算账册及文件的保存</w:t>
      </w:r>
    </w:p>
    <w:p w14:paraId="0CEEBFD9"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基金财产清算账册及有关文件由基金托管人保存</w:t>
      </w:r>
      <w:r w:rsidR="00390555" w:rsidRPr="000E68D0">
        <w:rPr>
          <w:rFonts w:ascii="仿宋_GB2312" w:eastAsia="仿宋_GB2312" w:hAnsi="宋体" w:cs="Arial" w:hint="eastAsia"/>
          <w:sz w:val="24"/>
        </w:rPr>
        <w:t>，保存期限不低于法律法规规定的最低年限</w:t>
      </w:r>
      <w:r w:rsidRPr="000E68D0">
        <w:rPr>
          <w:rFonts w:ascii="仿宋_GB2312" w:eastAsia="仿宋_GB2312" w:hAnsi="宋体" w:cs="Arial" w:hint="eastAsia"/>
          <w:sz w:val="24"/>
        </w:rPr>
        <w:t>。</w:t>
      </w:r>
    </w:p>
    <w:p w14:paraId="3E42A533"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1DC8664D" w14:textId="77777777" w:rsidR="00505116" w:rsidRPr="000E68D0" w:rsidRDefault="00690C57">
      <w:pPr>
        <w:pStyle w:val="2"/>
        <w:spacing w:before="240" w:after="240" w:line="276" w:lineRule="auto"/>
        <w:jc w:val="center"/>
        <w:rPr>
          <w:rFonts w:ascii="仿宋_GB2312" w:eastAsia="仿宋_GB2312"/>
          <w:sz w:val="30"/>
        </w:rPr>
      </w:pPr>
      <w:bookmarkStart w:id="96" w:name="_Toc151105005"/>
      <w:r w:rsidRPr="000E68D0">
        <w:rPr>
          <w:rFonts w:ascii="仿宋_GB2312" w:eastAsia="仿宋_GB2312" w:hint="eastAsia"/>
          <w:sz w:val="30"/>
        </w:rPr>
        <w:t>十七、违约责任</w:t>
      </w:r>
      <w:bookmarkEnd w:id="96"/>
    </w:p>
    <w:p w14:paraId="2C096A78"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（一）基金管理人、基金托管人不履行本协议或履行本协议不符合约定的，应当承担违约责任。</w:t>
      </w:r>
    </w:p>
    <w:p w14:paraId="004656EA" w14:textId="7BAEBBD9"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（二）基金管理人、基金托管人在履行各自职责的过程中，违反</w:t>
      </w:r>
      <w:r w:rsidR="00362BFC" w:rsidRPr="000E68D0">
        <w:rPr>
          <w:rFonts w:ascii="仿宋_GB2312" w:eastAsia="仿宋_GB2312" w:hAnsi="宋体" w:cs="Arial" w:hint="eastAsia"/>
          <w:sz w:val="24"/>
        </w:rPr>
        <w:t>法律法规</w:t>
      </w:r>
      <w:r w:rsidRPr="000E68D0">
        <w:rPr>
          <w:rFonts w:ascii="仿宋_GB2312" w:eastAsia="仿宋_GB2312"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113E34" w:rsidRPr="000E68D0">
        <w:rPr>
          <w:rFonts w:ascii="仿宋_GB2312" w:eastAsia="仿宋_GB2312" w:hAnsi="宋体" w:cs="Arial" w:hint="eastAsia"/>
          <w:sz w:val="24"/>
        </w:rPr>
        <w:t>对损失的赔偿，仅限于直接损失</w:t>
      </w:r>
      <w:r w:rsidR="005C1D54" w:rsidRPr="000E68D0">
        <w:rPr>
          <w:rFonts w:ascii="仿宋_GB2312" w:eastAsia="仿宋_GB2312" w:hAnsi="宋体" w:cs="Arial" w:hint="eastAsia"/>
          <w:sz w:val="24"/>
        </w:rPr>
        <w:t>。</w:t>
      </w:r>
    </w:p>
    <w:p w14:paraId="2580EFE7"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14:paraId="5E8040C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1.不可抗力；</w:t>
      </w:r>
    </w:p>
    <w:p w14:paraId="794285B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2.基金管理人和/或基金托管人按照当时有效的法律法规或中国证监会的规定作为或不作为而造成的损失等；</w:t>
      </w:r>
    </w:p>
    <w:p w14:paraId="08115CE9" w14:textId="51B78266"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3.基金管理人按照《基金合同》</w:t>
      </w:r>
      <w:r w:rsidR="00E236DB" w:rsidRPr="000E68D0">
        <w:rPr>
          <w:rFonts w:ascii="仿宋_GB2312" w:eastAsia="仿宋_GB2312" w:hAnsi="宋体" w:cs="Arial" w:hint="eastAsia"/>
          <w:sz w:val="24"/>
        </w:rPr>
        <w:t>约定的投资原则</w:t>
      </w:r>
      <w:proofErr w:type="gramStart"/>
      <w:r w:rsidR="00E236DB" w:rsidRPr="000E68D0">
        <w:rPr>
          <w:rFonts w:ascii="仿宋_GB2312" w:eastAsia="仿宋_GB2312" w:hAnsi="宋体" w:cs="Arial" w:hint="eastAsia"/>
          <w:sz w:val="24"/>
        </w:rPr>
        <w:t>行</w:t>
      </w:r>
      <w:r w:rsidR="00C70B1C" w:rsidRPr="000E68D0">
        <w:rPr>
          <w:rFonts w:ascii="仿宋_GB2312" w:eastAsia="仿宋_GB2312" w:hAnsi="宋体" w:cs="Arial" w:hint="eastAsia"/>
          <w:sz w:val="24"/>
        </w:rPr>
        <w:t>投资</w:t>
      </w:r>
      <w:proofErr w:type="gramEnd"/>
      <w:r w:rsidR="00C70B1C" w:rsidRPr="000E68D0">
        <w:rPr>
          <w:rFonts w:ascii="仿宋_GB2312" w:eastAsia="仿宋_GB2312" w:hAnsi="宋体" w:cs="Arial" w:hint="eastAsia"/>
          <w:sz w:val="24"/>
        </w:rPr>
        <w:t>或不投资</w:t>
      </w:r>
      <w:proofErr w:type="gramStart"/>
      <w:r w:rsidR="00C70B1C" w:rsidRPr="000E68D0">
        <w:rPr>
          <w:rFonts w:ascii="仿宋_GB2312" w:eastAsia="仿宋_GB2312" w:hAnsi="宋体" w:cs="Arial" w:hint="eastAsia"/>
          <w:sz w:val="24"/>
        </w:rPr>
        <w:t>造成</w:t>
      </w:r>
      <w:r w:rsidRPr="000E68D0">
        <w:rPr>
          <w:rFonts w:ascii="仿宋_GB2312" w:eastAsia="仿宋_GB2312" w:hAnsi="宋体" w:cs="Arial" w:hint="eastAsia"/>
          <w:sz w:val="24"/>
        </w:rPr>
        <w:t>造成</w:t>
      </w:r>
      <w:proofErr w:type="gramEnd"/>
      <w:r w:rsidRPr="000E68D0">
        <w:rPr>
          <w:rFonts w:ascii="仿宋_GB2312" w:eastAsia="仿宋_GB2312" w:hAnsi="宋体" w:cs="Arial" w:hint="eastAsia"/>
          <w:sz w:val="24"/>
        </w:rPr>
        <w:t>的损失等</w:t>
      </w:r>
      <w:r w:rsidR="00D01A08" w:rsidRPr="000E68D0">
        <w:rPr>
          <w:rFonts w:ascii="仿宋_GB2312" w:eastAsia="仿宋_GB2312" w:hAnsi="宋体" w:cs="Arial" w:hint="eastAsia"/>
          <w:sz w:val="24"/>
        </w:rPr>
        <w:t>。</w:t>
      </w:r>
    </w:p>
    <w:p w14:paraId="1D26016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611A7EF" w14:textId="77777777" w:rsidR="00505116" w:rsidRPr="000E68D0" w:rsidRDefault="00690C57">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14:paraId="7E6466E5" w14:textId="77777777" w:rsidR="0084425E" w:rsidRPr="000E68D0" w:rsidRDefault="00690C57" w:rsidP="001E3EE2">
      <w:pPr>
        <w:adjustRightInd w:val="0"/>
        <w:snapToGrid w:val="0"/>
        <w:spacing w:before="240" w:after="240" w:line="276" w:lineRule="auto"/>
        <w:ind w:firstLineChars="200" w:firstLine="480"/>
        <w:outlineLvl w:val="0"/>
        <w:rPr>
          <w:rFonts w:ascii="仿宋_GB2312" w:eastAsia="仿宋_GB2312" w:hAnsi="宋体" w:cs="Arial"/>
          <w:sz w:val="24"/>
        </w:rPr>
      </w:pPr>
      <w:r w:rsidRPr="000E68D0">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w:t>
      </w:r>
      <w:r w:rsidR="00D01A08" w:rsidRPr="000E68D0">
        <w:rPr>
          <w:rFonts w:ascii="仿宋_GB2312" w:eastAsia="仿宋_GB2312" w:hAnsi="宋体" w:cs="Arial" w:hint="eastAsia"/>
          <w:sz w:val="24"/>
        </w:rPr>
        <w:t>仍</w:t>
      </w:r>
      <w:r w:rsidRPr="000E68D0">
        <w:rPr>
          <w:rFonts w:ascii="仿宋_GB2312" w:eastAsia="仿宋_GB2312" w:hAnsi="宋体" w:cs="Arial" w:hint="eastAsia"/>
          <w:sz w:val="24"/>
        </w:rPr>
        <w:t>未能发现错误的，由此造成基金财产或投资人损失，基金管理人和基金托管人免除赔偿责任</w:t>
      </w:r>
      <w:r w:rsidR="00D01A08" w:rsidRPr="000E68D0">
        <w:rPr>
          <w:rFonts w:ascii="仿宋_GB2312" w:eastAsia="仿宋_GB2312" w:hAnsi="宋体" w:cs="Arial" w:hint="eastAsia"/>
          <w:sz w:val="24"/>
        </w:rPr>
        <w:t>，</w:t>
      </w:r>
      <w:r w:rsidRPr="000E68D0">
        <w:rPr>
          <w:rFonts w:ascii="仿宋_GB2312" w:eastAsia="仿宋_GB2312" w:hAnsi="宋体" w:cs="Arial" w:hint="eastAsia"/>
          <w:sz w:val="24"/>
        </w:rPr>
        <w:t>但是基金管理人和基金托管人应积极采取必要的措施减轻或消除由此造成的影响。</w:t>
      </w:r>
    </w:p>
    <w:p w14:paraId="6CCC4EAF" w14:textId="77777777" w:rsidR="00505116" w:rsidRPr="000E68D0" w:rsidRDefault="00505116" w:rsidP="001E3EE2">
      <w:pPr>
        <w:adjustRightInd w:val="0"/>
        <w:snapToGrid w:val="0"/>
        <w:spacing w:before="240" w:after="240" w:line="276" w:lineRule="auto"/>
        <w:ind w:firstLineChars="200" w:firstLine="480"/>
        <w:outlineLvl w:val="0"/>
        <w:rPr>
          <w:rFonts w:ascii="仿宋_GB2312" w:eastAsia="仿宋_GB2312" w:hAnsi="宋体" w:cs="Arial"/>
          <w:sz w:val="24"/>
        </w:rPr>
      </w:pPr>
    </w:p>
    <w:p w14:paraId="74F37433" w14:textId="77777777" w:rsidR="00505116" w:rsidRPr="000E68D0" w:rsidRDefault="00690C57">
      <w:pPr>
        <w:pStyle w:val="2"/>
        <w:spacing w:before="240" w:after="240" w:line="276" w:lineRule="auto"/>
        <w:jc w:val="center"/>
        <w:rPr>
          <w:rFonts w:ascii="仿宋_GB2312" w:eastAsia="仿宋_GB2312"/>
          <w:sz w:val="30"/>
        </w:rPr>
      </w:pPr>
      <w:bookmarkStart w:id="97" w:name="_Toc151105006"/>
      <w:r w:rsidRPr="000E68D0">
        <w:rPr>
          <w:rFonts w:ascii="仿宋_GB2312" w:eastAsia="仿宋_GB2312" w:hint="eastAsia"/>
          <w:sz w:val="30"/>
        </w:rPr>
        <w:t>十八、争议解决方式</w:t>
      </w:r>
      <w:bookmarkEnd w:id="97"/>
    </w:p>
    <w:p w14:paraId="3ABDC6A2"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1D7A034E"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CDD81A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本协议受中国法律（为本协议之目的，不包括香港特别行政区、澳门特别行政区和台湾地区法律）管辖。</w:t>
      </w:r>
    </w:p>
    <w:p w14:paraId="08C2E378"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379D2E50" w14:textId="77777777" w:rsidR="00505116" w:rsidRPr="000E68D0" w:rsidRDefault="00690C57">
      <w:pPr>
        <w:pStyle w:val="2"/>
        <w:spacing w:before="240" w:after="240" w:line="276" w:lineRule="auto"/>
        <w:jc w:val="center"/>
        <w:rPr>
          <w:rFonts w:ascii="仿宋_GB2312" w:eastAsia="仿宋_GB2312"/>
          <w:sz w:val="30"/>
        </w:rPr>
      </w:pPr>
      <w:bookmarkStart w:id="98" w:name="_Toc151105007"/>
      <w:r w:rsidRPr="000E68D0">
        <w:rPr>
          <w:rFonts w:ascii="仿宋_GB2312" w:eastAsia="仿宋_GB2312" w:hint="eastAsia"/>
          <w:sz w:val="30"/>
        </w:rPr>
        <w:t>十九、托管协议的效力</w:t>
      </w:r>
      <w:bookmarkEnd w:id="98"/>
    </w:p>
    <w:p w14:paraId="240683FD"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双方对托管协议的效力约定如下：</w:t>
      </w:r>
    </w:p>
    <w:p w14:paraId="29023AFB"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字/签章，协议当事人双方根据中国证监会的意见修改托管协议草案。托管协议以中国证监会注册/备案的文本为正式文本。</w:t>
      </w:r>
    </w:p>
    <w:p w14:paraId="559D804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（二）托管协议自《基金合同》成立之日起成立，自《基金合同》生效之日起</w:t>
      </w:r>
      <w:r w:rsidRPr="000E68D0">
        <w:rPr>
          <w:rFonts w:ascii="仿宋_GB2312" w:eastAsia="仿宋_GB2312" w:hAnsi="宋体" w:cs="Arial" w:hint="eastAsia"/>
          <w:sz w:val="24"/>
        </w:rPr>
        <w:lastRenderedPageBreak/>
        <w:t>生效。托管协议的有效期自其生效之日起至基金财产清算结果报中国证监会备案并公告之日止。</w:t>
      </w:r>
    </w:p>
    <w:p w14:paraId="164E2BF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（三）托管协议自生效之日起对托管协议当事人具有同等的法律约束力。</w:t>
      </w:r>
    </w:p>
    <w:p w14:paraId="4FFA2B60" w14:textId="109C5B0C" w:rsidR="00505116" w:rsidRPr="000E68D0" w:rsidRDefault="00690C57">
      <w:pPr>
        <w:adjustRightInd w:val="0"/>
        <w:snapToGrid w:val="0"/>
        <w:spacing w:before="240" w:after="240" w:line="276" w:lineRule="auto"/>
        <w:ind w:firstLineChars="200" w:firstLine="480"/>
        <w:rPr>
          <w:rFonts w:ascii="仿宋_GB2312" w:eastAsia="仿宋_GB2312"/>
          <w:sz w:val="30"/>
          <w:szCs w:val="30"/>
        </w:rPr>
      </w:pPr>
      <w:r w:rsidRPr="000E68D0">
        <w:rPr>
          <w:rFonts w:ascii="仿宋_GB2312" w:eastAsia="仿宋_GB2312" w:hAnsi="宋体" w:cs="Arial" w:hint="eastAsia"/>
          <w:sz w:val="24"/>
        </w:rPr>
        <w:t>（四）本协议一式</w:t>
      </w:r>
      <w:r w:rsidR="009D5C95" w:rsidRPr="000E68D0">
        <w:rPr>
          <w:rFonts w:ascii="仿宋_GB2312" w:eastAsia="仿宋_GB2312" w:hAnsi="宋体" w:cs="Arial" w:hint="eastAsia"/>
          <w:sz w:val="24"/>
        </w:rPr>
        <w:t>六</w:t>
      </w:r>
      <w:r w:rsidRPr="000E68D0">
        <w:rPr>
          <w:rFonts w:ascii="仿宋_GB2312" w:eastAsia="仿宋_GB2312" w:hAnsi="宋体" w:cs="Arial" w:hint="eastAsia"/>
          <w:sz w:val="24"/>
        </w:rPr>
        <w:t>份，协议双方各持</w:t>
      </w:r>
      <w:r w:rsidR="009D5C95" w:rsidRPr="000E68D0">
        <w:rPr>
          <w:rFonts w:ascii="仿宋_GB2312" w:eastAsia="仿宋_GB2312" w:hAnsi="宋体" w:cs="Arial" w:hint="eastAsia"/>
          <w:sz w:val="24"/>
        </w:rPr>
        <w:t>二</w:t>
      </w:r>
      <w:r w:rsidRPr="000E68D0">
        <w:rPr>
          <w:rFonts w:ascii="仿宋_GB2312" w:eastAsia="仿宋_GB2312" w:hAnsi="宋体" w:cs="Arial" w:hint="eastAsia"/>
          <w:sz w:val="24"/>
        </w:rPr>
        <w:t>份，上报监管机构</w:t>
      </w:r>
      <w:r w:rsidR="009D5C95" w:rsidRPr="000E68D0">
        <w:rPr>
          <w:rFonts w:ascii="仿宋_GB2312" w:eastAsia="仿宋_GB2312" w:hAnsi="宋体" w:cs="Arial" w:hint="eastAsia"/>
          <w:sz w:val="24"/>
        </w:rPr>
        <w:t>二</w:t>
      </w:r>
      <w:r w:rsidRPr="000E68D0">
        <w:rPr>
          <w:rFonts w:ascii="仿宋_GB2312" w:eastAsia="仿宋_GB2312" w:hAnsi="宋体" w:cs="Arial" w:hint="eastAsia"/>
          <w:sz w:val="24"/>
        </w:rPr>
        <w:t>份，每份具有同等的法律效力。</w:t>
      </w:r>
    </w:p>
    <w:p w14:paraId="4B5EF0FE" w14:textId="77777777" w:rsidR="00505116" w:rsidRPr="000E68D0" w:rsidRDefault="00505116">
      <w:pPr>
        <w:adjustRightInd w:val="0"/>
        <w:snapToGrid w:val="0"/>
        <w:spacing w:before="240" w:after="240" w:line="276" w:lineRule="auto"/>
        <w:rPr>
          <w:rFonts w:ascii="仿宋_GB2312" w:eastAsia="仿宋_GB2312" w:hAnsi="宋体" w:cs="Arial"/>
          <w:sz w:val="24"/>
        </w:rPr>
      </w:pPr>
    </w:p>
    <w:p w14:paraId="1450286D" w14:textId="77777777" w:rsidR="00505116" w:rsidRPr="000E68D0" w:rsidRDefault="00690C57">
      <w:pPr>
        <w:pStyle w:val="2"/>
        <w:spacing w:before="240" w:after="240" w:line="276" w:lineRule="auto"/>
        <w:jc w:val="center"/>
        <w:rPr>
          <w:rFonts w:ascii="仿宋_GB2312" w:eastAsia="仿宋_GB2312"/>
          <w:sz w:val="30"/>
        </w:rPr>
      </w:pPr>
      <w:bookmarkStart w:id="99" w:name="_Toc151105008"/>
      <w:r w:rsidRPr="000E68D0">
        <w:rPr>
          <w:rFonts w:ascii="仿宋_GB2312" w:eastAsia="仿宋_GB2312" w:hint="eastAsia"/>
          <w:sz w:val="30"/>
        </w:rPr>
        <w:t>二十、其他事项</w:t>
      </w:r>
      <w:bookmarkEnd w:id="99"/>
    </w:p>
    <w:p w14:paraId="622BA381"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如发生有权司法机关依法冻结基金份额持有人的基金份额时，基金管理人应予以配合，承担司法协助义务。</w:t>
      </w:r>
    </w:p>
    <w:p w14:paraId="3F2C77C3"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14:paraId="27FB3CE6" w14:textId="77777777" w:rsidR="00505116" w:rsidRPr="000E68D0" w:rsidRDefault="00505116">
      <w:pPr>
        <w:adjustRightInd w:val="0"/>
        <w:snapToGrid w:val="0"/>
        <w:spacing w:before="240" w:after="240" w:line="276" w:lineRule="auto"/>
        <w:rPr>
          <w:rFonts w:ascii="仿宋_GB2312" w:eastAsia="仿宋_GB2312"/>
          <w:b/>
          <w:bCs/>
        </w:rPr>
      </w:pPr>
    </w:p>
    <w:p w14:paraId="6C5BFAD9" w14:textId="77777777" w:rsidR="00505116" w:rsidRPr="000E68D0" w:rsidRDefault="00690C57">
      <w:pPr>
        <w:pStyle w:val="2"/>
        <w:spacing w:before="240" w:after="240" w:line="276" w:lineRule="auto"/>
        <w:jc w:val="center"/>
        <w:rPr>
          <w:rFonts w:ascii="仿宋_GB2312" w:eastAsia="仿宋_GB2312"/>
          <w:sz w:val="30"/>
        </w:rPr>
      </w:pPr>
      <w:bookmarkStart w:id="100" w:name="_Toc151105009"/>
      <w:r w:rsidRPr="000E68D0">
        <w:rPr>
          <w:rFonts w:ascii="仿宋_GB2312" w:eastAsia="仿宋_GB2312" w:hint="eastAsia"/>
          <w:sz w:val="30"/>
        </w:rPr>
        <w:t>二十一、托管协议的签订</w:t>
      </w:r>
      <w:bookmarkEnd w:id="100"/>
    </w:p>
    <w:p w14:paraId="1FB358FC" w14:textId="77777777" w:rsidR="00505116" w:rsidRPr="000E68D0" w:rsidRDefault="00690C57">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本协议双方法定代表人或授权代表签章、签订地、签订日</w:t>
      </w:r>
    </w:p>
    <w:p w14:paraId="6524CE71" w14:textId="11302A39" w:rsidR="00316BCB" w:rsidRPr="000E68D0" w:rsidRDefault="00543429" w:rsidP="008D323A">
      <w:pPr>
        <w:widowControl/>
        <w:jc w:val="left"/>
        <w:rPr>
          <w:rFonts w:ascii="仿宋_GB2312" w:eastAsia="仿宋_GB2312" w:hAnsi="宋体" w:cs="Arial"/>
          <w:sz w:val="24"/>
        </w:rPr>
      </w:pPr>
      <w:r w:rsidRPr="000E68D0">
        <w:rPr>
          <w:rFonts w:ascii="仿宋_GB2312" w:eastAsia="仿宋_GB2312" w:hint="eastAsia"/>
        </w:rPr>
        <w:br w:type="page"/>
      </w:r>
      <w:r w:rsidR="00316BCB" w:rsidRPr="000E68D0">
        <w:rPr>
          <w:rFonts w:ascii="仿宋_GB2312" w:eastAsia="仿宋_GB2312" w:hAnsi="宋体" w:cs="Arial" w:hint="eastAsia"/>
          <w:sz w:val="24"/>
        </w:rPr>
        <w:lastRenderedPageBreak/>
        <w:t>本页无正文，为《嘉实</w:t>
      </w:r>
      <w:r w:rsidR="00C079E6" w:rsidRPr="000E68D0">
        <w:rPr>
          <w:rFonts w:ascii="仿宋_GB2312" w:eastAsia="仿宋_GB2312" w:hAnsi="宋体" w:cs="Arial" w:hint="eastAsia"/>
          <w:sz w:val="24"/>
        </w:rPr>
        <w:t>创新动力混合型发起式</w:t>
      </w:r>
      <w:r w:rsidR="00316BCB" w:rsidRPr="000E68D0">
        <w:rPr>
          <w:rFonts w:ascii="仿宋_GB2312" w:eastAsia="仿宋_GB2312" w:hAnsi="宋体" w:cs="Arial" w:hint="eastAsia"/>
          <w:sz w:val="24"/>
        </w:rPr>
        <w:t>证券投资基金托管协议》的签字盖章页。</w:t>
      </w:r>
    </w:p>
    <w:p w14:paraId="5010B96A"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基金管理人：嘉</w:t>
      </w:r>
      <w:proofErr w:type="gramStart"/>
      <w:r w:rsidRPr="000E68D0">
        <w:rPr>
          <w:rFonts w:ascii="仿宋_GB2312" w:eastAsia="仿宋_GB2312" w:hAnsi="宋体" w:cs="Arial" w:hint="eastAsia"/>
          <w:sz w:val="24"/>
        </w:rPr>
        <w:t>实基金</w:t>
      </w:r>
      <w:proofErr w:type="gramEnd"/>
      <w:r w:rsidRPr="000E68D0">
        <w:rPr>
          <w:rFonts w:ascii="仿宋_GB2312" w:eastAsia="仿宋_GB2312" w:hAnsi="宋体" w:cs="Arial" w:hint="eastAsia"/>
          <w:sz w:val="24"/>
        </w:rPr>
        <w:t>管理有限公司</w:t>
      </w:r>
    </w:p>
    <w:p w14:paraId="75AA0F2E"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18155DD6"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06BD939E"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31D4C2B5"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 xml:space="preserve">法定代表人或授权代表：                   </w:t>
      </w:r>
    </w:p>
    <w:p w14:paraId="549B514B"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658A84FB"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0E1C901E"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16C8C277"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基金托管人：中国建设银行股份有限公司</w:t>
      </w:r>
    </w:p>
    <w:p w14:paraId="5957883F"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0E12D040"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02CBE84B"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p>
    <w:p w14:paraId="639B2BD5"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 xml:space="preserve">法定代表人或授权代表：                   </w:t>
      </w:r>
    </w:p>
    <w:p w14:paraId="7B4C9CEF" w14:textId="77777777" w:rsidR="00316BCB" w:rsidRPr="000E68D0" w:rsidRDefault="00316BCB" w:rsidP="00316BCB">
      <w:pPr>
        <w:pStyle w:val="p0"/>
        <w:spacing w:line="360" w:lineRule="auto"/>
        <w:ind w:right="26" w:firstLine="482"/>
        <w:rPr>
          <w:rFonts w:ascii="仿宋_GB2312" w:eastAsia="仿宋_GB2312" w:hAnsi="宋体"/>
          <w:b/>
          <w:bCs/>
          <w:sz w:val="24"/>
          <w:szCs w:val="24"/>
        </w:rPr>
      </w:pPr>
    </w:p>
    <w:p w14:paraId="452D74A2" w14:textId="092F50AD" w:rsidR="00316BCB" w:rsidRPr="000E68D0" w:rsidRDefault="00316BCB" w:rsidP="00316BCB">
      <w:pPr>
        <w:pStyle w:val="p0"/>
        <w:spacing w:line="360" w:lineRule="auto"/>
        <w:ind w:right="26" w:firstLine="482"/>
        <w:rPr>
          <w:rFonts w:ascii="仿宋_GB2312" w:eastAsia="仿宋_GB2312" w:hAnsi="宋体"/>
          <w:b/>
          <w:bCs/>
          <w:sz w:val="24"/>
          <w:szCs w:val="24"/>
        </w:rPr>
      </w:pPr>
    </w:p>
    <w:p w14:paraId="7736C1EE" w14:textId="77777777" w:rsidR="009D6821" w:rsidRPr="000E68D0" w:rsidRDefault="009D6821" w:rsidP="00316BCB">
      <w:pPr>
        <w:pStyle w:val="p0"/>
        <w:spacing w:line="360" w:lineRule="auto"/>
        <w:ind w:right="26" w:firstLine="482"/>
        <w:rPr>
          <w:rFonts w:ascii="仿宋_GB2312" w:eastAsia="仿宋_GB2312" w:hAnsi="宋体"/>
          <w:b/>
          <w:bCs/>
          <w:sz w:val="24"/>
          <w:szCs w:val="24"/>
        </w:rPr>
      </w:pPr>
    </w:p>
    <w:p w14:paraId="7BE055C5" w14:textId="77777777"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签订地点：北京</w:t>
      </w:r>
    </w:p>
    <w:p w14:paraId="68476E7C" w14:textId="629043E5" w:rsidR="00316BCB" w:rsidRPr="000E68D0" w:rsidRDefault="00316BCB" w:rsidP="00316BCB">
      <w:pPr>
        <w:adjustRightInd w:val="0"/>
        <w:snapToGrid w:val="0"/>
        <w:spacing w:before="240" w:after="240" w:line="276" w:lineRule="auto"/>
        <w:ind w:firstLineChars="200" w:firstLine="480"/>
        <w:rPr>
          <w:rFonts w:ascii="仿宋_GB2312" w:eastAsia="仿宋_GB2312" w:hAnsi="宋体" w:cs="Arial"/>
          <w:sz w:val="24"/>
        </w:rPr>
      </w:pPr>
      <w:r w:rsidRPr="000E68D0">
        <w:rPr>
          <w:rFonts w:ascii="仿宋_GB2312" w:eastAsia="仿宋_GB2312" w:hAnsi="宋体" w:cs="Arial" w:hint="eastAsia"/>
          <w:sz w:val="24"/>
        </w:rPr>
        <w:t xml:space="preserve">签 订 日：   </w:t>
      </w:r>
      <w:r w:rsidR="00B01CB2">
        <w:rPr>
          <w:rFonts w:ascii="仿宋_GB2312" w:eastAsia="仿宋_GB2312" w:hAnsi="宋体" w:cs="Arial"/>
          <w:sz w:val="24"/>
        </w:rPr>
        <w:t xml:space="preserve"> </w:t>
      </w:r>
      <w:r w:rsidRPr="000E68D0">
        <w:rPr>
          <w:rFonts w:ascii="仿宋_GB2312" w:eastAsia="仿宋_GB2312" w:hAnsi="宋体" w:cs="Arial" w:hint="eastAsia"/>
          <w:sz w:val="24"/>
        </w:rPr>
        <w:t xml:space="preserve">   年    月    日</w:t>
      </w:r>
    </w:p>
    <w:sectPr w:rsidR="00316BCB" w:rsidRPr="000E68D0">
      <w:footerReference w:type="default" r:id="rId8"/>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B92B5" w14:textId="77777777" w:rsidR="008F5B5A" w:rsidRDefault="008F5B5A">
      <w:r>
        <w:separator/>
      </w:r>
    </w:p>
  </w:endnote>
  <w:endnote w:type="continuationSeparator" w:id="0">
    <w:p w14:paraId="6B8F72BC" w14:textId="77777777" w:rsidR="008F5B5A" w:rsidRDefault="008F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890098"/>
      <w:docPartObj>
        <w:docPartGallery w:val="Page Numbers (Bottom of Page)"/>
        <w:docPartUnique/>
      </w:docPartObj>
    </w:sdtPr>
    <w:sdtEndPr/>
    <w:sdtContent>
      <w:p w14:paraId="06A02589" w14:textId="1789ED6F" w:rsidR="000E68D0" w:rsidRDefault="000E68D0">
        <w:pPr>
          <w:pStyle w:val="ac"/>
          <w:jc w:val="center"/>
        </w:pPr>
        <w:r>
          <w:fldChar w:fldCharType="begin"/>
        </w:r>
        <w:r>
          <w:instrText>PAGE   \* MERGEFORMAT</w:instrText>
        </w:r>
        <w:r>
          <w:fldChar w:fldCharType="separate"/>
        </w:r>
        <w:r w:rsidR="00CC7829" w:rsidRPr="00CC7829">
          <w:rPr>
            <w:noProof/>
            <w:lang w:val="zh-CN"/>
          </w:rPr>
          <w:t>43</w:t>
        </w:r>
        <w:r>
          <w:fldChar w:fldCharType="end"/>
        </w:r>
      </w:p>
    </w:sdtContent>
  </w:sdt>
  <w:p w14:paraId="15541E6A" w14:textId="77777777" w:rsidR="000E68D0" w:rsidRDefault="000E68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B312" w14:textId="77777777" w:rsidR="008F5B5A" w:rsidRDefault="008F5B5A">
      <w:r>
        <w:separator/>
      </w:r>
    </w:p>
  </w:footnote>
  <w:footnote w:type="continuationSeparator" w:id="0">
    <w:p w14:paraId="2CA90EA4" w14:textId="77777777" w:rsidR="008F5B5A" w:rsidRDefault="008F5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A"/>
    <w:rsid w:val="00001A8B"/>
    <w:rsid w:val="00001FE5"/>
    <w:rsid w:val="00004777"/>
    <w:rsid w:val="00005BE8"/>
    <w:rsid w:val="00013F6C"/>
    <w:rsid w:val="00015ECB"/>
    <w:rsid w:val="00022BA9"/>
    <w:rsid w:val="00030FFF"/>
    <w:rsid w:val="00037976"/>
    <w:rsid w:val="000404F5"/>
    <w:rsid w:val="000502A1"/>
    <w:rsid w:val="000508F5"/>
    <w:rsid w:val="000550DA"/>
    <w:rsid w:val="00055CCD"/>
    <w:rsid w:val="00057BB3"/>
    <w:rsid w:val="00074F87"/>
    <w:rsid w:val="000772A8"/>
    <w:rsid w:val="00080CF5"/>
    <w:rsid w:val="00081DF9"/>
    <w:rsid w:val="000855A3"/>
    <w:rsid w:val="000864FC"/>
    <w:rsid w:val="0008697E"/>
    <w:rsid w:val="0009021C"/>
    <w:rsid w:val="00093435"/>
    <w:rsid w:val="000A0FF2"/>
    <w:rsid w:val="000A1E44"/>
    <w:rsid w:val="000A6E84"/>
    <w:rsid w:val="000B1257"/>
    <w:rsid w:val="000B1E48"/>
    <w:rsid w:val="000B3C40"/>
    <w:rsid w:val="000B6A69"/>
    <w:rsid w:val="000B7366"/>
    <w:rsid w:val="000C0B56"/>
    <w:rsid w:val="000C2979"/>
    <w:rsid w:val="000C41C3"/>
    <w:rsid w:val="000D0DA8"/>
    <w:rsid w:val="000D3411"/>
    <w:rsid w:val="000D6F48"/>
    <w:rsid w:val="000E54F7"/>
    <w:rsid w:val="000E68D0"/>
    <w:rsid w:val="000F0139"/>
    <w:rsid w:val="000F0366"/>
    <w:rsid w:val="000F05A2"/>
    <w:rsid w:val="000F0C6E"/>
    <w:rsid w:val="000F0D47"/>
    <w:rsid w:val="0010139E"/>
    <w:rsid w:val="00113E34"/>
    <w:rsid w:val="0011717C"/>
    <w:rsid w:val="001200AA"/>
    <w:rsid w:val="001318DA"/>
    <w:rsid w:val="00132626"/>
    <w:rsid w:val="001356A7"/>
    <w:rsid w:val="00143B42"/>
    <w:rsid w:val="00153501"/>
    <w:rsid w:val="0015728B"/>
    <w:rsid w:val="00157E29"/>
    <w:rsid w:val="00161E91"/>
    <w:rsid w:val="00162A7D"/>
    <w:rsid w:val="0016397C"/>
    <w:rsid w:val="0016729F"/>
    <w:rsid w:val="00167671"/>
    <w:rsid w:val="0017201E"/>
    <w:rsid w:val="0018031C"/>
    <w:rsid w:val="00180903"/>
    <w:rsid w:val="00183EC5"/>
    <w:rsid w:val="001928C1"/>
    <w:rsid w:val="001929CA"/>
    <w:rsid w:val="001A0DE9"/>
    <w:rsid w:val="001A313C"/>
    <w:rsid w:val="001A7799"/>
    <w:rsid w:val="001B62DE"/>
    <w:rsid w:val="001B6C57"/>
    <w:rsid w:val="001C0D26"/>
    <w:rsid w:val="001C3EC3"/>
    <w:rsid w:val="001C475A"/>
    <w:rsid w:val="001C4BDA"/>
    <w:rsid w:val="001D02E2"/>
    <w:rsid w:val="001D15E6"/>
    <w:rsid w:val="001D531A"/>
    <w:rsid w:val="001E3EE2"/>
    <w:rsid w:val="001F06D7"/>
    <w:rsid w:val="001F0A04"/>
    <w:rsid w:val="001F3A04"/>
    <w:rsid w:val="001F4D82"/>
    <w:rsid w:val="0020093D"/>
    <w:rsid w:val="00205DC1"/>
    <w:rsid w:val="00206173"/>
    <w:rsid w:val="002108C0"/>
    <w:rsid w:val="00210CA3"/>
    <w:rsid w:val="00212010"/>
    <w:rsid w:val="00216C45"/>
    <w:rsid w:val="002212F7"/>
    <w:rsid w:val="00225A69"/>
    <w:rsid w:val="00230CC2"/>
    <w:rsid w:val="002318A7"/>
    <w:rsid w:val="00235B58"/>
    <w:rsid w:val="002367BB"/>
    <w:rsid w:val="0024165C"/>
    <w:rsid w:val="00244F56"/>
    <w:rsid w:val="00253AC2"/>
    <w:rsid w:val="00255154"/>
    <w:rsid w:val="00262AFC"/>
    <w:rsid w:val="00263C02"/>
    <w:rsid w:val="002677BA"/>
    <w:rsid w:val="00267C22"/>
    <w:rsid w:val="00267CE9"/>
    <w:rsid w:val="00271CD6"/>
    <w:rsid w:val="00275635"/>
    <w:rsid w:val="00277276"/>
    <w:rsid w:val="002821BF"/>
    <w:rsid w:val="00282207"/>
    <w:rsid w:val="002860A9"/>
    <w:rsid w:val="00296502"/>
    <w:rsid w:val="002A0799"/>
    <w:rsid w:val="002A1769"/>
    <w:rsid w:val="002A3C16"/>
    <w:rsid w:val="002A43B0"/>
    <w:rsid w:val="002A5AC3"/>
    <w:rsid w:val="002A6FE9"/>
    <w:rsid w:val="002A705C"/>
    <w:rsid w:val="002A70FC"/>
    <w:rsid w:val="002B35AB"/>
    <w:rsid w:val="002B4123"/>
    <w:rsid w:val="002B5125"/>
    <w:rsid w:val="002C2FEF"/>
    <w:rsid w:val="002C5BEA"/>
    <w:rsid w:val="002E0408"/>
    <w:rsid w:val="002E1E2E"/>
    <w:rsid w:val="002E27CB"/>
    <w:rsid w:val="002E478B"/>
    <w:rsid w:val="002F386E"/>
    <w:rsid w:val="00303C2D"/>
    <w:rsid w:val="003053C1"/>
    <w:rsid w:val="00310AE1"/>
    <w:rsid w:val="0031399C"/>
    <w:rsid w:val="003139EE"/>
    <w:rsid w:val="00313CB6"/>
    <w:rsid w:val="00314079"/>
    <w:rsid w:val="00316776"/>
    <w:rsid w:val="00316BCB"/>
    <w:rsid w:val="0032208B"/>
    <w:rsid w:val="00324FAE"/>
    <w:rsid w:val="00333C29"/>
    <w:rsid w:val="00335126"/>
    <w:rsid w:val="00336368"/>
    <w:rsid w:val="003445EC"/>
    <w:rsid w:val="00344897"/>
    <w:rsid w:val="00344AC9"/>
    <w:rsid w:val="003461F5"/>
    <w:rsid w:val="00346ECC"/>
    <w:rsid w:val="00355301"/>
    <w:rsid w:val="00360A5F"/>
    <w:rsid w:val="00362BFC"/>
    <w:rsid w:val="00364CE4"/>
    <w:rsid w:val="00365F8F"/>
    <w:rsid w:val="00370937"/>
    <w:rsid w:val="003766F6"/>
    <w:rsid w:val="00377082"/>
    <w:rsid w:val="00380F38"/>
    <w:rsid w:val="00385F86"/>
    <w:rsid w:val="003864EC"/>
    <w:rsid w:val="00386B34"/>
    <w:rsid w:val="00387AC5"/>
    <w:rsid w:val="00390555"/>
    <w:rsid w:val="00391B83"/>
    <w:rsid w:val="003943A9"/>
    <w:rsid w:val="003A3AC8"/>
    <w:rsid w:val="003B67D8"/>
    <w:rsid w:val="003B71D4"/>
    <w:rsid w:val="003B7612"/>
    <w:rsid w:val="003C091F"/>
    <w:rsid w:val="003C3D40"/>
    <w:rsid w:val="003C55D6"/>
    <w:rsid w:val="003C5F45"/>
    <w:rsid w:val="003D071C"/>
    <w:rsid w:val="003D1E4D"/>
    <w:rsid w:val="003D28AE"/>
    <w:rsid w:val="003D42D0"/>
    <w:rsid w:val="003D5BA2"/>
    <w:rsid w:val="003E48C9"/>
    <w:rsid w:val="003E6378"/>
    <w:rsid w:val="003F0725"/>
    <w:rsid w:val="003F3506"/>
    <w:rsid w:val="00403FE6"/>
    <w:rsid w:val="00407F92"/>
    <w:rsid w:val="00424DFF"/>
    <w:rsid w:val="00425CAE"/>
    <w:rsid w:val="0043218E"/>
    <w:rsid w:val="00433EB2"/>
    <w:rsid w:val="0044098A"/>
    <w:rsid w:val="00456F6F"/>
    <w:rsid w:val="00461E60"/>
    <w:rsid w:val="004665DD"/>
    <w:rsid w:val="00481CC9"/>
    <w:rsid w:val="00492DCF"/>
    <w:rsid w:val="004938D9"/>
    <w:rsid w:val="00494541"/>
    <w:rsid w:val="004A2371"/>
    <w:rsid w:val="004C4740"/>
    <w:rsid w:val="004C79B3"/>
    <w:rsid w:val="004D19E4"/>
    <w:rsid w:val="004D288D"/>
    <w:rsid w:val="004D4CC1"/>
    <w:rsid w:val="004D51AB"/>
    <w:rsid w:val="004D5B45"/>
    <w:rsid w:val="004E2171"/>
    <w:rsid w:val="004E78FE"/>
    <w:rsid w:val="004F357D"/>
    <w:rsid w:val="004F3EBC"/>
    <w:rsid w:val="004F6FF6"/>
    <w:rsid w:val="0050195D"/>
    <w:rsid w:val="00501B09"/>
    <w:rsid w:val="00502CE4"/>
    <w:rsid w:val="0050419E"/>
    <w:rsid w:val="005048BA"/>
    <w:rsid w:val="00505116"/>
    <w:rsid w:val="0051130E"/>
    <w:rsid w:val="0051550D"/>
    <w:rsid w:val="00522753"/>
    <w:rsid w:val="005305F6"/>
    <w:rsid w:val="00532D7E"/>
    <w:rsid w:val="0053471B"/>
    <w:rsid w:val="00537D9F"/>
    <w:rsid w:val="005405DF"/>
    <w:rsid w:val="00542885"/>
    <w:rsid w:val="00543429"/>
    <w:rsid w:val="00547F52"/>
    <w:rsid w:val="00556281"/>
    <w:rsid w:val="00566B36"/>
    <w:rsid w:val="00584910"/>
    <w:rsid w:val="00592885"/>
    <w:rsid w:val="00594546"/>
    <w:rsid w:val="00596EF6"/>
    <w:rsid w:val="005A7E7F"/>
    <w:rsid w:val="005B1FD1"/>
    <w:rsid w:val="005B35D2"/>
    <w:rsid w:val="005B37F5"/>
    <w:rsid w:val="005B5E9E"/>
    <w:rsid w:val="005B6518"/>
    <w:rsid w:val="005B7B88"/>
    <w:rsid w:val="005C1D54"/>
    <w:rsid w:val="005D002E"/>
    <w:rsid w:val="005D11C5"/>
    <w:rsid w:val="005E0AF6"/>
    <w:rsid w:val="005E5FAE"/>
    <w:rsid w:val="005F0CBA"/>
    <w:rsid w:val="005F5EF7"/>
    <w:rsid w:val="005F60CB"/>
    <w:rsid w:val="005F66F7"/>
    <w:rsid w:val="006023BF"/>
    <w:rsid w:val="0060454F"/>
    <w:rsid w:val="00604965"/>
    <w:rsid w:val="00607542"/>
    <w:rsid w:val="00617515"/>
    <w:rsid w:val="00617FC5"/>
    <w:rsid w:val="006266DA"/>
    <w:rsid w:val="006318A4"/>
    <w:rsid w:val="0063528C"/>
    <w:rsid w:val="00644A24"/>
    <w:rsid w:val="006456D5"/>
    <w:rsid w:val="00652E03"/>
    <w:rsid w:val="0065649F"/>
    <w:rsid w:val="0065787B"/>
    <w:rsid w:val="006608B3"/>
    <w:rsid w:val="0067156B"/>
    <w:rsid w:val="00671644"/>
    <w:rsid w:val="00680CB8"/>
    <w:rsid w:val="0068533B"/>
    <w:rsid w:val="00690C57"/>
    <w:rsid w:val="00694459"/>
    <w:rsid w:val="00694C40"/>
    <w:rsid w:val="00696A46"/>
    <w:rsid w:val="006B331F"/>
    <w:rsid w:val="006B65BD"/>
    <w:rsid w:val="006B77F6"/>
    <w:rsid w:val="006C2BB6"/>
    <w:rsid w:val="006C4F96"/>
    <w:rsid w:val="006D06F9"/>
    <w:rsid w:val="006D22D7"/>
    <w:rsid w:val="006D3AA1"/>
    <w:rsid w:val="006D75A7"/>
    <w:rsid w:val="006E224E"/>
    <w:rsid w:val="006E24B5"/>
    <w:rsid w:val="006F156A"/>
    <w:rsid w:val="006F1D56"/>
    <w:rsid w:val="006F7758"/>
    <w:rsid w:val="006F7771"/>
    <w:rsid w:val="00700AEB"/>
    <w:rsid w:val="00703E20"/>
    <w:rsid w:val="00706F81"/>
    <w:rsid w:val="007071F7"/>
    <w:rsid w:val="00711349"/>
    <w:rsid w:val="00712399"/>
    <w:rsid w:val="00713266"/>
    <w:rsid w:val="007157B3"/>
    <w:rsid w:val="00716E7D"/>
    <w:rsid w:val="007216B0"/>
    <w:rsid w:val="007222B4"/>
    <w:rsid w:val="00724D60"/>
    <w:rsid w:val="007261C3"/>
    <w:rsid w:val="00731066"/>
    <w:rsid w:val="00732277"/>
    <w:rsid w:val="00743A80"/>
    <w:rsid w:val="0077051F"/>
    <w:rsid w:val="0078037D"/>
    <w:rsid w:val="007810DF"/>
    <w:rsid w:val="00781CD3"/>
    <w:rsid w:val="00786698"/>
    <w:rsid w:val="007913E0"/>
    <w:rsid w:val="0079260E"/>
    <w:rsid w:val="00796693"/>
    <w:rsid w:val="007A0951"/>
    <w:rsid w:val="007A0F8F"/>
    <w:rsid w:val="007A5BE0"/>
    <w:rsid w:val="007A7EE8"/>
    <w:rsid w:val="007B0BC4"/>
    <w:rsid w:val="007B5D77"/>
    <w:rsid w:val="007B78E5"/>
    <w:rsid w:val="007C044D"/>
    <w:rsid w:val="007C2A1B"/>
    <w:rsid w:val="007C2AC2"/>
    <w:rsid w:val="007D1D8F"/>
    <w:rsid w:val="007E003C"/>
    <w:rsid w:val="007E097D"/>
    <w:rsid w:val="007E1D9D"/>
    <w:rsid w:val="00805E03"/>
    <w:rsid w:val="00817C91"/>
    <w:rsid w:val="00823AF4"/>
    <w:rsid w:val="008247E0"/>
    <w:rsid w:val="008266E6"/>
    <w:rsid w:val="00831F2D"/>
    <w:rsid w:val="0084425E"/>
    <w:rsid w:val="0085003D"/>
    <w:rsid w:val="00850731"/>
    <w:rsid w:val="0085388D"/>
    <w:rsid w:val="008659F6"/>
    <w:rsid w:val="00866C32"/>
    <w:rsid w:val="00877F02"/>
    <w:rsid w:val="00883B8C"/>
    <w:rsid w:val="00891975"/>
    <w:rsid w:val="00893C40"/>
    <w:rsid w:val="00895A46"/>
    <w:rsid w:val="00896C07"/>
    <w:rsid w:val="008973F1"/>
    <w:rsid w:val="008B575B"/>
    <w:rsid w:val="008B7F68"/>
    <w:rsid w:val="008C60F0"/>
    <w:rsid w:val="008D323A"/>
    <w:rsid w:val="008D3AA4"/>
    <w:rsid w:val="008D3CEC"/>
    <w:rsid w:val="008D62C2"/>
    <w:rsid w:val="008E137B"/>
    <w:rsid w:val="008E20CF"/>
    <w:rsid w:val="008E2231"/>
    <w:rsid w:val="008F45E2"/>
    <w:rsid w:val="008F5B5A"/>
    <w:rsid w:val="008F7711"/>
    <w:rsid w:val="0090166C"/>
    <w:rsid w:val="00930975"/>
    <w:rsid w:val="009402C1"/>
    <w:rsid w:val="00945DAB"/>
    <w:rsid w:val="00951B20"/>
    <w:rsid w:val="00954931"/>
    <w:rsid w:val="00954F92"/>
    <w:rsid w:val="0095694A"/>
    <w:rsid w:val="00965CE0"/>
    <w:rsid w:val="0097210D"/>
    <w:rsid w:val="009765F7"/>
    <w:rsid w:val="00977A74"/>
    <w:rsid w:val="0098059D"/>
    <w:rsid w:val="00980C04"/>
    <w:rsid w:val="009840AA"/>
    <w:rsid w:val="00986873"/>
    <w:rsid w:val="009A1C9E"/>
    <w:rsid w:val="009A247A"/>
    <w:rsid w:val="009A7822"/>
    <w:rsid w:val="009A7A2C"/>
    <w:rsid w:val="009B0B89"/>
    <w:rsid w:val="009B137E"/>
    <w:rsid w:val="009C1B51"/>
    <w:rsid w:val="009C552B"/>
    <w:rsid w:val="009D10B7"/>
    <w:rsid w:val="009D2AB6"/>
    <w:rsid w:val="009D49C2"/>
    <w:rsid w:val="009D4CBB"/>
    <w:rsid w:val="009D5C95"/>
    <w:rsid w:val="009D6821"/>
    <w:rsid w:val="009D7D5B"/>
    <w:rsid w:val="009E265A"/>
    <w:rsid w:val="009E734D"/>
    <w:rsid w:val="009E7732"/>
    <w:rsid w:val="009F0F63"/>
    <w:rsid w:val="009F1FC4"/>
    <w:rsid w:val="00A043E4"/>
    <w:rsid w:val="00A12DE8"/>
    <w:rsid w:val="00A14FBD"/>
    <w:rsid w:val="00A30850"/>
    <w:rsid w:val="00A3207A"/>
    <w:rsid w:val="00A33351"/>
    <w:rsid w:val="00A34A34"/>
    <w:rsid w:val="00A51AFB"/>
    <w:rsid w:val="00A54D36"/>
    <w:rsid w:val="00A640B8"/>
    <w:rsid w:val="00A744A7"/>
    <w:rsid w:val="00A77251"/>
    <w:rsid w:val="00A93220"/>
    <w:rsid w:val="00A94A51"/>
    <w:rsid w:val="00AA383D"/>
    <w:rsid w:val="00AA49FA"/>
    <w:rsid w:val="00AA5158"/>
    <w:rsid w:val="00AA570F"/>
    <w:rsid w:val="00AA583C"/>
    <w:rsid w:val="00AA6E1C"/>
    <w:rsid w:val="00AA7952"/>
    <w:rsid w:val="00AB7331"/>
    <w:rsid w:val="00AC13BF"/>
    <w:rsid w:val="00AC15C5"/>
    <w:rsid w:val="00AC670B"/>
    <w:rsid w:val="00AC7A7D"/>
    <w:rsid w:val="00AD14DF"/>
    <w:rsid w:val="00AE2272"/>
    <w:rsid w:val="00AE2B19"/>
    <w:rsid w:val="00AE67CA"/>
    <w:rsid w:val="00AF2F97"/>
    <w:rsid w:val="00B006F3"/>
    <w:rsid w:val="00B016CD"/>
    <w:rsid w:val="00B01CB2"/>
    <w:rsid w:val="00B03649"/>
    <w:rsid w:val="00B11C45"/>
    <w:rsid w:val="00B127B6"/>
    <w:rsid w:val="00B142E9"/>
    <w:rsid w:val="00B24674"/>
    <w:rsid w:val="00B25B93"/>
    <w:rsid w:val="00B31238"/>
    <w:rsid w:val="00B3776D"/>
    <w:rsid w:val="00B429C9"/>
    <w:rsid w:val="00B43808"/>
    <w:rsid w:val="00B50FC8"/>
    <w:rsid w:val="00B54D4A"/>
    <w:rsid w:val="00B55914"/>
    <w:rsid w:val="00B566F3"/>
    <w:rsid w:val="00B60DEB"/>
    <w:rsid w:val="00B62A54"/>
    <w:rsid w:val="00B73B44"/>
    <w:rsid w:val="00B83CB6"/>
    <w:rsid w:val="00B95AEC"/>
    <w:rsid w:val="00BA386F"/>
    <w:rsid w:val="00BA6029"/>
    <w:rsid w:val="00BC3FE5"/>
    <w:rsid w:val="00BC5EC9"/>
    <w:rsid w:val="00BC6FB5"/>
    <w:rsid w:val="00BC752B"/>
    <w:rsid w:val="00BD0F8F"/>
    <w:rsid w:val="00BD5690"/>
    <w:rsid w:val="00BD6B9B"/>
    <w:rsid w:val="00BE022C"/>
    <w:rsid w:val="00BE1B9D"/>
    <w:rsid w:val="00BE273A"/>
    <w:rsid w:val="00BE2C26"/>
    <w:rsid w:val="00BE5FA4"/>
    <w:rsid w:val="00BF779D"/>
    <w:rsid w:val="00C01C05"/>
    <w:rsid w:val="00C068C6"/>
    <w:rsid w:val="00C079E6"/>
    <w:rsid w:val="00C144CF"/>
    <w:rsid w:val="00C16F37"/>
    <w:rsid w:val="00C25F00"/>
    <w:rsid w:val="00C341FC"/>
    <w:rsid w:val="00C41684"/>
    <w:rsid w:val="00C45EEC"/>
    <w:rsid w:val="00C466F9"/>
    <w:rsid w:val="00C4757E"/>
    <w:rsid w:val="00C47A8F"/>
    <w:rsid w:val="00C6168F"/>
    <w:rsid w:val="00C66714"/>
    <w:rsid w:val="00C67DEA"/>
    <w:rsid w:val="00C70456"/>
    <w:rsid w:val="00C70B1C"/>
    <w:rsid w:val="00C70C47"/>
    <w:rsid w:val="00C71059"/>
    <w:rsid w:val="00C7307F"/>
    <w:rsid w:val="00C82794"/>
    <w:rsid w:val="00C90539"/>
    <w:rsid w:val="00C92546"/>
    <w:rsid w:val="00C96B1C"/>
    <w:rsid w:val="00C97EDC"/>
    <w:rsid w:val="00CA1E06"/>
    <w:rsid w:val="00CA3750"/>
    <w:rsid w:val="00CA5E5E"/>
    <w:rsid w:val="00CA73ED"/>
    <w:rsid w:val="00CB19D0"/>
    <w:rsid w:val="00CB328F"/>
    <w:rsid w:val="00CB53CA"/>
    <w:rsid w:val="00CB6CD6"/>
    <w:rsid w:val="00CC24C8"/>
    <w:rsid w:val="00CC3DCD"/>
    <w:rsid w:val="00CC7829"/>
    <w:rsid w:val="00CD7D08"/>
    <w:rsid w:val="00CE2830"/>
    <w:rsid w:val="00CF333E"/>
    <w:rsid w:val="00CF635F"/>
    <w:rsid w:val="00D01A08"/>
    <w:rsid w:val="00D152D4"/>
    <w:rsid w:val="00D2196F"/>
    <w:rsid w:val="00D22670"/>
    <w:rsid w:val="00D25595"/>
    <w:rsid w:val="00D3787A"/>
    <w:rsid w:val="00D378D8"/>
    <w:rsid w:val="00D444DB"/>
    <w:rsid w:val="00D50A66"/>
    <w:rsid w:val="00D51B08"/>
    <w:rsid w:val="00D51E1C"/>
    <w:rsid w:val="00D54C83"/>
    <w:rsid w:val="00D551BE"/>
    <w:rsid w:val="00D67DE6"/>
    <w:rsid w:val="00D7074A"/>
    <w:rsid w:val="00D7631C"/>
    <w:rsid w:val="00D817D7"/>
    <w:rsid w:val="00D82590"/>
    <w:rsid w:val="00D90C1A"/>
    <w:rsid w:val="00D917DC"/>
    <w:rsid w:val="00D96E76"/>
    <w:rsid w:val="00DA10D7"/>
    <w:rsid w:val="00DA4E56"/>
    <w:rsid w:val="00DA7F27"/>
    <w:rsid w:val="00DB006E"/>
    <w:rsid w:val="00DB20FE"/>
    <w:rsid w:val="00DB4915"/>
    <w:rsid w:val="00DC154B"/>
    <w:rsid w:val="00DD0B8C"/>
    <w:rsid w:val="00DE0FDB"/>
    <w:rsid w:val="00DF0B6C"/>
    <w:rsid w:val="00DF0F53"/>
    <w:rsid w:val="00DF22BE"/>
    <w:rsid w:val="00E01E22"/>
    <w:rsid w:val="00E05AA9"/>
    <w:rsid w:val="00E06612"/>
    <w:rsid w:val="00E0742F"/>
    <w:rsid w:val="00E13941"/>
    <w:rsid w:val="00E200A6"/>
    <w:rsid w:val="00E209D3"/>
    <w:rsid w:val="00E236DB"/>
    <w:rsid w:val="00E24C88"/>
    <w:rsid w:val="00E3211A"/>
    <w:rsid w:val="00E32EA2"/>
    <w:rsid w:val="00E33A48"/>
    <w:rsid w:val="00E357D4"/>
    <w:rsid w:val="00E36D95"/>
    <w:rsid w:val="00E412E4"/>
    <w:rsid w:val="00E43B81"/>
    <w:rsid w:val="00E55D64"/>
    <w:rsid w:val="00E634C3"/>
    <w:rsid w:val="00E63FBE"/>
    <w:rsid w:val="00E750D1"/>
    <w:rsid w:val="00EA0F59"/>
    <w:rsid w:val="00EB2243"/>
    <w:rsid w:val="00EB6CA7"/>
    <w:rsid w:val="00EC1C01"/>
    <w:rsid w:val="00EC3289"/>
    <w:rsid w:val="00EC59FE"/>
    <w:rsid w:val="00EC65F8"/>
    <w:rsid w:val="00ED6087"/>
    <w:rsid w:val="00EE3359"/>
    <w:rsid w:val="00EE76A6"/>
    <w:rsid w:val="00EE78AA"/>
    <w:rsid w:val="00EF4831"/>
    <w:rsid w:val="00EF6646"/>
    <w:rsid w:val="00EF79E2"/>
    <w:rsid w:val="00F02ADD"/>
    <w:rsid w:val="00F04303"/>
    <w:rsid w:val="00F071AD"/>
    <w:rsid w:val="00F11209"/>
    <w:rsid w:val="00F13A3A"/>
    <w:rsid w:val="00F13D21"/>
    <w:rsid w:val="00F15943"/>
    <w:rsid w:val="00F2031C"/>
    <w:rsid w:val="00F27EAE"/>
    <w:rsid w:val="00F369F0"/>
    <w:rsid w:val="00F41F8A"/>
    <w:rsid w:val="00F437A7"/>
    <w:rsid w:val="00F43F94"/>
    <w:rsid w:val="00F4400E"/>
    <w:rsid w:val="00F56964"/>
    <w:rsid w:val="00F57451"/>
    <w:rsid w:val="00F642FB"/>
    <w:rsid w:val="00F73790"/>
    <w:rsid w:val="00F76D8D"/>
    <w:rsid w:val="00F81048"/>
    <w:rsid w:val="00F83242"/>
    <w:rsid w:val="00F900B6"/>
    <w:rsid w:val="00F936CC"/>
    <w:rsid w:val="00F97DD9"/>
    <w:rsid w:val="00FA1E3B"/>
    <w:rsid w:val="00FA3226"/>
    <w:rsid w:val="00FB4D66"/>
    <w:rsid w:val="00FC1CEC"/>
    <w:rsid w:val="00FD1947"/>
    <w:rsid w:val="00FD7810"/>
    <w:rsid w:val="00FF05D9"/>
    <w:rsid w:val="00FF2F55"/>
    <w:rsid w:val="2881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8471"/>
  <w15:docId w15:val="{E589C615-59B8-4F12-85F5-5F56A4A2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a5"/>
    <w:uiPriority w:val="99"/>
    <w:qFormat/>
    <w:pPr>
      <w:jc w:val="left"/>
    </w:pPr>
  </w:style>
  <w:style w:type="paragraph" w:styleId="a6">
    <w:name w:val="Body Text"/>
    <w:basedOn w:val="a"/>
    <w:link w:val="a7"/>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uiPriority w:val="39"/>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qFormat/>
    <w:rPr>
      <w:b/>
      <w:bCs/>
    </w:rPr>
  </w:style>
  <w:style w:type="character" w:styleId="af3">
    <w:name w:val="Strong"/>
    <w:qFormat/>
    <w:rPr>
      <w:b/>
      <w:bCs/>
    </w:rPr>
  </w:style>
  <w:style w:type="character" w:styleId="af4">
    <w:name w:val="page number"/>
    <w:basedOn w:val="a1"/>
  </w:style>
  <w:style w:type="character" w:styleId="af5">
    <w:name w:val="FollowedHyperlink"/>
    <w:uiPriority w:val="99"/>
    <w:unhideWhenUsed/>
    <w:rPr>
      <w:color w:val="800080"/>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HTML0">
    <w:name w:val="HTML 预设格式 字符"/>
    <w:link w:val="HTML"/>
    <w:uiPriority w:val="99"/>
    <w:rPr>
      <w:rFonts w:ascii="宋体" w:eastAsia="宋体" w:hAnsi="宋体" w:cs="宋体"/>
      <w:kern w:val="0"/>
      <w:sz w:val="24"/>
      <w:szCs w:val="24"/>
    </w:rPr>
  </w:style>
  <w:style w:type="character" w:customStyle="1" w:styleId="ad">
    <w:name w:val="页脚 字符"/>
    <w:link w:val="ac"/>
    <w:uiPriority w:val="99"/>
    <w:rPr>
      <w:sz w:val="18"/>
      <w:szCs w:val="18"/>
    </w:rPr>
  </w:style>
  <w:style w:type="character" w:customStyle="1" w:styleId="ab">
    <w:name w:val="批注框文本 字符"/>
    <w:link w:val="aa"/>
    <w:semiHidden/>
    <w:rPr>
      <w:rFonts w:ascii="Times New Roman" w:eastAsia="宋体" w:hAnsi="Times New Roman" w:cs="Times New Roman"/>
      <w:sz w:val="18"/>
      <w:szCs w:val="18"/>
    </w:rPr>
  </w:style>
  <w:style w:type="character" w:customStyle="1" w:styleId="af2">
    <w:name w:val="批注主题 字符"/>
    <w:link w:val="af1"/>
    <w:rPr>
      <w:rFonts w:ascii="Times New Roman" w:eastAsia="宋体" w:hAnsi="Times New Roman" w:cs="Times New Roman"/>
      <w:b/>
      <w:bCs/>
      <w:szCs w:val="24"/>
    </w:rPr>
  </w:style>
  <w:style w:type="character" w:customStyle="1" w:styleId="a9">
    <w:name w:val="正文文本缩进 字符"/>
    <w:link w:val="a8"/>
    <w:rPr>
      <w:rFonts w:ascii="Times New Roman" w:eastAsia="方正仿宋简体" w:hAnsi="Times New Roman" w:cs="Times New Roman"/>
      <w:sz w:val="24"/>
      <w:szCs w:val="30"/>
    </w:rPr>
  </w:style>
  <w:style w:type="character" w:customStyle="1" w:styleId="31">
    <w:name w:val="正文文本缩进 3 字符"/>
    <w:link w:val="30"/>
    <w:rPr>
      <w:rFonts w:ascii="仿宋_GB2312" w:eastAsia="仿宋_GB2312" w:hAnsi="宋体" w:cs="Arial"/>
      <w:color w:val="000000"/>
      <w:sz w:val="24"/>
      <w:szCs w:val="24"/>
    </w:rPr>
  </w:style>
  <w:style w:type="character" w:customStyle="1" w:styleId="read">
    <w:name w:val="read"/>
    <w:basedOn w:val="a1"/>
  </w:style>
  <w:style w:type="character" w:customStyle="1" w:styleId="22">
    <w:name w:val="正文文本缩进 2 字符"/>
    <w:link w:val="21"/>
    <w:rPr>
      <w:rFonts w:ascii="宋体" w:eastAsia="宋体" w:hAnsi="宋体" w:cs="Times New Roman"/>
      <w:sz w:val="28"/>
      <w:szCs w:val="20"/>
    </w:rPr>
  </w:style>
  <w:style w:type="character" w:customStyle="1" w:styleId="a7">
    <w:name w:val="正文文本 字符"/>
    <w:link w:val="a6"/>
    <w:rPr>
      <w:rFonts w:ascii="仿宋_GB2312" w:eastAsia="仿宋_GB2312" w:hAnsi="Times New Roman" w:cs="Times New Roman"/>
      <w:color w:val="000000"/>
      <w:kern w:val="0"/>
      <w:sz w:val="24"/>
      <w:szCs w:val="28"/>
    </w:rPr>
  </w:style>
  <w:style w:type="character" w:customStyle="1" w:styleId="a5">
    <w:name w:val="批注文字 字符"/>
    <w:link w:val="a4"/>
    <w:qFormat/>
    <w:rPr>
      <w:rFonts w:ascii="Times New Roman" w:eastAsia="宋体" w:hAnsi="Times New Roman" w:cs="Times New Roman"/>
      <w:szCs w:val="24"/>
    </w:rPr>
  </w:style>
  <w:style w:type="character" w:customStyle="1" w:styleId="af">
    <w:name w:val="页眉 字符"/>
    <w:link w:val="ae"/>
    <w:uiPriority w:val="99"/>
    <w:qFormat/>
    <w:rPr>
      <w:sz w:val="18"/>
      <w:szCs w:val="18"/>
    </w:rPr>
  </w:style>
  <w:style w:type="character" w:customStyle="1" w:styleId="Char1">
    <w:name w:val="正文文本缩进 Char1"/>
    <w:basedOn w:val="a1"/>
    <w:uiPriority w:val="99"/>
    <w:semiHidden/>
    <w:rPr>
      <w:rFonts w:ascii="Times New Roman" w:eastAsia="宋体" w:hAnsi="Times New Roman" w:cs="Times New Roman"/>
      <w:szCs w:val="24"/>
    </w:rPr>
  </w:style>
  <w:style w:type="character" w:customStyle="1" w:styleId="Char10">
    <w:name w:val="批注框文本 Char1"/>
    <w:basedOn w:val="a1"/>
    <w:uiPriority w:val="99"/>
    <w:semiHidden/>
    <w:qFormat/>
    <w:rPr>
      <w:rFonts w:ascii="Times New Roman" w:eastAsia="宋体" w:hAnsi="Times New Roman" w:cs="Times New Roman"/>
      <w:sz w:val="18"/>
      <w:szCs w:val="18"/>
    </w:rPr>
  </w:style>
  <w:style w:type="character" w:customStyle="1" w:styleId="Char11">
    <w:name w:val="正文文本 Char1"/>
    <w:basedOn w:val="a1"/>
    <w:uiPriority w:val="99"/>
    <w:semiHidden/>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character" w:customStyle="1" w:styleId="Char12">
    <w:name w:val="批注文字 Char1"/>
    <w:basedOn w:val="a1"/>
    <w:uiPriority w:val="99"/>
    <w:semiHidden/>
    <w:rPr>
      <w:rFonts w:ascii="Times New Roman" w:eastAsia="宋体" w:hAnsi="Times New Roman" w:cs="Times New Roman"/>
      <w:szCs w:val="24"/>
    </w:rPr>
  </w:style>
  <w:style w:type="character" w:customStyle="1" w:styleId="2Char1">
    <w:name w:val="正文文本缩进 2 Char1"/>
    <w:basedOn w:val="a1"/>
    <w:uiPriority w:val="99"/>
    <w:semiHidden/>
    <w:rPr>
      <w:rFonts w:ascii="Times New Roman" w:eastAsia="宋体" w:hAnsi="Times New Roman" w:cs="Times New Roman"/>
      <w:szCs w:val="24"/>
    </w:rPr>
  </w:style>
  <w:style w:type="paragraph" w:customStyle="1" w:styleId="10">
    <w:name w:val="修订1"/>
    <w:uiPriority w:val="99"/>
    <w:semiHidden/>
    <w:qFormat/>
    <w:rPr>
      <w:rFonts w:ascii="Times New Roman" w:eastAsia="宋体" w:hAnsi="Times New Roman" w:cs="Times New Roman"/>
      <w:kern w:val="2"/>
      <w:sz w:val="21"/>
      <w:szCs w:val="24"/>
    </w:rPr>
  </w:style>
  <w:style w:type="paragraph" w:customStyle="1" w:styleId="CharCharChar">
    <w:name w:val="Char Char Char"/>
    <w:basedOn w:val="a"/>
  </w:style>
  <w:style w:type="paragraph" w:customStyle="1" w:styleId="Char">
    <w:name w:val="Char"/>
    <w:basedOn w:val="a"/>
  </w:style>
  <w:style w:type="character" w:customStyle="1" w:styleId="Char13">
    <w:name w:val="页眉 Char1"/>
    <w:basedOn w:val="a1"/>
    <w:uiPriority w:val="99"/>
    <w:semiHidden/>
    <w:qFormat/>
    <w:rPr>
      <w:rFonts w:ascii="Times New Roman" w:eastAsia="宋体" w:hAnsi="Times New Roman" w:cs="Times New Roman"/>
      <w:sz w:val="18"/>
      <w:szCs w:val="18"/>
    </w:rPr>
  </w:style>
  <w:style w:type="character" w:customStyle="1" w:styleId="Char14">
    <w:name w:val="页脚 Char1"/>
    <w:basedOn w:val="a1"/>
    <w:uiPriority w:val="99"/>
    <w:semiHidden/>
    <w:rPr>
      <w:rFonts w:ascii="Times New Roman" w:eastAsia="宋体" w:hAnsi="Times New Roman" w:cs="Times New Roman"/>
      <w:sz w:val="18"/>
      <w:szCs w:val="18"/>
    </w:rPr>
  </w:style>
  <w:style w:type="character" w:customStyle="1" w:styleId="HTMLChar1">
    <w:name w:val="HTML 预设格式 Char1"/>
    <w:basedOn w:val="a1"/>
    <w:uiPriority w:val="99"/>
    <w:semiHidden/>
    <w:rPr>
      <w:rFonts w:ascii="Courier New" w:eastAsia="宋体" w:hAnsi="Courier New" w:cs="Courier New"/>
      <w:sz w:val="20"/>
      <w:szCs w:val="20"/>
    </w:rPr>
  </w:style>
  <w:style w:type="character" w:customStyle="1" w:styleId="Char15">
    <w:name w:val="批注主题 Char1"/>
    <w:basedOn w:val="Char12"/>
    <w:uiPriority w:val="99"/>
    <w:semiHidden/>
    <w:qFormat/>
    <w:rPr>
      <w:rFonts w:ascii="Times New Roman" w:eastAsia="宋体" w:hAnsi="Times New Roman" w:cs="Times New Roman"/>
      <w:b/>
      <w:bCs/>
      <w:szCs w:val="24"/>
    </w:rPr>
  </w:style>
  <w:style w:type="character" w:customStyle="1" w:styleId="3Char1">
    <w:name w:val="正文文本缩进 3 Char1"/>
    <w:basedOn w:val="a1"/>
    <w:uiPriority w:val="99"/>
    <w:semiHidden/>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6">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styleId="af8">
    <w:name w:val="Revision"/>
    <w:hidden/>
    <w:uiPriority w:val="99"/>
    <w:semiHidden/>
    <w:rsid w:val="009E265A"/>
    <w:rPr>
      <w:rFonts w:ascii="Times New Roman" w:eastAsia="宋体" w:hAnsi="Times New Roman" w:cs="Times New Roman"/>
      <w:kern w:val="2"/>
      <w:sz w:val="21"/>
      <w:szCs w:val="24"/>
    </w:rPr>
  </w:style>
  <w:style w:type="paragraph" w:customStyle="1" w:styleId="p0">
    <w:name w:val="p0"/>
    <w:basedOn w:val="a"/>
    <w:qFormat/>
    <w:rsid w:val="00316BCB"/>
    <w:pPr>
      <w:widowControl/>
      <w:pBdr>
        <w:top w:val="none" w:sz="0" w:space="0" w:color="000000"/>
        <w:left w:val="none" w:sz="0" w:space="0" w:color="000000"/>
        <w:bottom w:val="none" w:sz="0" w:space="0" w:color="000000"/>
        <w:right w:val="none" w:sz="0" w:space="0" w:color="000000"/>
        <w:between w:val="none" w:sz="0" w:space="0" w:color="000000"/>
      </w:pBdr>
    </w:pPr>
    <w:rPr>
      <w:kern w:val="0"/>
      <w:szCs w:val="21"/>
    </w:rPr>
  </w:style>
  <w:style w:type="paragraph" w:styleId="af9">
    <w:name w:val="List Paragraph"/>
    <w:basedOn w:val="a"/>
    <w:uiPriority w:val="99"/>
    <w:rsid w:val="00AC670B"/>
    <w:pPr>
      <w:ind w:firstLineChars="200" w:firstLine="420"/>
    </w:pPr>
  </w:style>
  <w:style w:type="character" w:customStyle="1" w:styleId="Char0">
    <w:name w:val="批注文字 Char"/>
    <w:qFormat/>
    <w:rsid w:val="00A043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3802">
      <w:bodyDiv w:val="1"/>
      <w:marLeft w:val="0"/>
      <w:marRight w:val="0"/>
      <w:marTop w:val="0"/>
      <w:marBottom w:val="0"/>
      <w:divBdr>
        <w:top w:val="none" w:sz="0" w:space="0" w:color="auto"/>
        <w:left w:val="none" w:sz="0" w:space="0" w:color="auto"/>
        <w:bottom w:val="none" w:sz="0" w:space="0" w:color="auto"/>
        <w:right w:val="none" w:sz="0" w:space="0" w:color="auto"/>
      </w:divBdr>
    </w:div>
    <w:div w:id="730806419">
      <w:bodyDiv w:val="1"/>
      <w:marLeft w:val="0"/>
      <w:marRight w:val="0"/>
      <w:marTop w:val="0"/>
      <w:marBottom w:val="0"/>
      <w:divBdr>
        <w:top w:val="none" w:sz="0" w:space="0" w:color="auto"/>
        <w:left w:val="none" w:sz="0" w:space="0" w:color="auto"/>
        <w:bottom w:val="none" w:sz="0" w:space="0" w:color="auto"/>
        <w:right w:val="none" w:sz="0" w:space="0" w:color="auto"/>
      </w:divBdr>
    </w:div>
    <w:div w:id="800542243">
      <w:bodyDiv w:val="1"/>
      <w:marLeft w:val="0"/>
      <w:marRight w:val="0"/>
      <w:marTop w:val="0"/>
      <w:marBottom w:val="0"/>
      <w:divBdr>
        <w:top w:val="none" w:sz="0" w:space="0" w:color="auto"/>
        <w:left w:val="none" w:sz="0" w:space="0" w:color="auto"/>
        <w:bottom w:val="none" w:sz="0" w:space="0" w:color="auto"/>
        <w:right w:val="none" w:sz="0" w:space="0" w:color="auto"/>
      </w:divBdr>
      <w:divsChild>
        <w:div w:id="181819633">
          <w:marLeft w:val="0"/>
          <w:marRight w:val="0"/>
          <w:marTop w:val="15"/>
          <w:marBottom w:val="0"/>
          <w:divBdr>
            <w:top w:val="single" w:sz="48" w:space="0" w:color="auto"/>
            <w:left w:val="single" w:sz="48" w:space="0" w:color="auto"/>
            <w:bottom w:val="single" w:sz="48" w:space="0" w:color="auto"/>
            <w:right w:val="single" w:sz="48" w:space="0" w:color="auto"/>
          </w:divBdr>
          <w:divsChild>
            <w:div w:id="2018068902">
              <w:marLeft w:val="0"/>
              <w:marRight w:val="0"/>
              <w:marTop w:val="0"/>
              <w:marBottom w:val="0"/>
              <w:divBdr>
                <w:top w:val="none" w:sz="0" w:space="0" w:color="auto"/>
                <w:left w:val="none" w:sz="0" w:space="0" w:color="auto"/>
                <w:bottom w:val="none" w:sz="0" w:space="0" w:color="auto"/>
                <w:right w:val="none" w:sz="0" w:space="0" w:color="auto"/>
              </w:divBdr>
              <w:divsChild>
                <w:div w:id="1104693414">
                  <w:marLeft w:val="0"/>
                  <w:marRight w:val="0"/>
                  <w:marTop w:val="0"/>
                  <w:marBottom w:val="0"/>
                  <w:divBdr>
                    <w:top w:val="none" w:sz="0" w:space="0" w:color="auto"/>
                    <w:left w:val="none" w:sz="0" w:space="0" w:color="auto"/>
                    <w:bottom w:val="none" w:sz="0" w:space="0" w:color="auto"/>
                    <w:right w:val="none" w:sz="0" w:space="0" w:color="auto"/>
                  </w:divBdr>
                </w:div>
                <w:div w:id="446243649">
                  <w:marLeft w:val="0"/>
                  <w:marRight w:val="0"/>
                  <w:marTop w:val="0"/>
                  <w:marBottom w:val="0"/>
                  <w:divBdr>
                    <w:top w:val="none" w:sz="0" w:space="0" w:color="auto"/>
                    <w:left w:val="none" w:sz="0" w:space="0" w:color="auto"/>
                    <w:bottom w:val="none" w:sz="0" w:space="0" w:color="auto"/>
                    <w:right w:val="none" w:sz="0" w:space="0" w:color="auto"/>
                  </w:divBdr>
                </w:div>
                <w:div w:id="160973939">
                  <w:marLeft w:val="0"/>
                  <w:marRight w:val="0"/>
                  <w:marTop w:val="0"/>
                  <w:marBottom w:val="0"/>
                  <w:divBdr>
                    <w:top w:val="none" w:sz="0" w:space="0" w:color="auto"/>
                    <w:left w:val="none" w:sz="0" w:space="0" w:color="auto"/>
                    <w:bottom w:val="none" w:sz="0" w:space="0" w:color="auto"/>
                    <w:right w:val="none" w:sz="0" w:space="0" w:color="auto"/>
                  </w:divBdr>
                </w:div>
                <w:div w:id="2085715333">
                  <w:marLeft w:val="0"/>
                  <w:marRight w:val="0"/>
                  <w:marTop w:val="0"/>
                  <w:marBottom w:val="0"/>
                  <w:divBdr>
                    <w:top w:val="none" w:sz="0" w:space="0" w:color="auto"/>
                    <w:left w:val="none" w:sz="0" w:space="0" w:color="auto"/>
                    <w:bottom w:val="none" w:sz="0" w:space="0" w:color="auto"/>
                    <w:right w:val="none" w:sz="0" w:space="0" w:color="auto"/>
                  </w:divBdr>
                </w:div>
                <w:div w:id="20885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632">
          <w:marLeft w:val="0"/>
          <w:marRight w:val="0"/>
          <w:marTop w:val="15"/>
          <w:marBottom w:val="0"/>
          <w:divBdr>
            <w:top w:val="single" w:sz="48" w:space="0" w:color="auto"/>
            <w:left w:val="single" w:sz="48" w:space="0" w:color="auto"/>
            <w:bottom w:val="single" w:sz="48" w:space="0" w:color="auto"/>
            <w:right w:val="single" w:sz="48" w:space="0" w:color="auto"/>
          </w:divBdr>
          <w:divsChild>
            <w:div w:id="108933310">
              <w:marLeft w:val="0"/>
              <w:marRight w:val="0"/>
              <w:marTop w:val="0"/>
              <w:marBottom w:val="0"/>
              <w:divBdr>
                <w:top w:val="none" w:sz="0" w:space="0" w:color="auto"/>
                <w:left w:val="none" w:sz="0" w:space="0" w:color="auto"/>
                <w:bottom w:val="none" w:sz="0" w:space="0" w:color="auto"/>
                <w:right w:val="none" w:sz="0" w:space="0" w:color="auto"/>
              </w:divBdr>
              <w:divsChild>
                <w:div w:id="1015419246">
                  <w:marLeft w:val="0"/>
                  <w:marRight w:val="0"/>
                  <w:marTop w:val="0"/>
                  <w:marBottom w:val="0"/>
                  <w:divBdr>
                    <w:top w:val="none" w:sz="0" w:space="0" w:color="auto"/>
                    <w:left w:val="none" w:sz="0" w:space="0" w:color="auto"/>
                    <w:bottom w:val="none" w:sz="0" w:space="0" w:color="auto"/>
                    <w:right w:val="none" w:sz="0" w:space="0" w:color="auto"/>
                  </w:divBdr>
                </w:div>
                <w:div w:id="915089410">
                  <w:marLeft w:val="0"/>
                  <w:marRight w:val="0"/>
                  <w:marTop w:val="0"/>
                  <w:marBottom w:val="0"/>
                  <w:divBdr>
                    <w:top w:val="none" w:sz="0" w:space="0" w:color="auto"/>
                    <w:left w:val="none" w:sz="0" w:space="0" w:color="auto"/>
                    <w:bottom w:val="none" w:sz="0" w:space="0" w:color="auto"/>
                    <w:right w:val="none" w:sz="0" w:space="0" w:color="auto"/>
                  </w:divBdr>
                </w:div>
                <w:div w:id="1974483093">
                  <w:marLeft w:val="0"/>
                  <w:marRight w:val="0"/>
                  <w:marTop w:val="0"/>
                  <w:marBottom w:val="0"/>
                  <w:divBdr>
                    <w:top w:val="none" w:sz="0" w:space="0" w:color="auto"/>
                    <w:left w:val="none" w:sz="0" w:space="0" w:color="auto"/>
                    <w:bottom w:val="none" w:sz="0" w:space="0" w:color="auto"/>
                    <w:right w:val="none" w:sz="0" w:space="0" w:color="auto"/>
                  </w:divBdr>
                </w:div>
                <w:div w:id="1004824808">
                  <w:marLeft w:val="0"/>
                  <w:marRight w:val="0"/>
                  <w:marTop w:val="0"/>
                  <w:marBottom w:val="0"/>
                  <w:divBdr>
                    <w:top w:val="none" w:sz="0" w:space="0" w:color="auto"/>
                    <w:left w:val="none" w:sz="0" w:space="0" w:color="auto"/>
                    <w:bottom w:val="none" w:sz="0" w:space="0" w:color="auto"/>
                    <w:right w:val="none" w:sz="0" w:space="0" w:color="auto"/>
                  </w:divBdr>
                </w:div>
                <w:div w:id="916327813">
                  <w:marLeft w:val="0"/>
                  <w:marRight w:val="0"/>
                  <w:marTop w:val="0"/>
                  <w:marBottom w:val="0"/>
                  <w:divBdr>
                    <w:top w:val="none" w:sz="0" w:space="0" w:color="auto"/>
                    <w:left w:val="none" w:sz="0" w:space="0" w:color="auto"/>
                    <w:bottom w:val="none" w:sz="0" w:space="0" w:color="auto"/>
                    <w:right w:val="none" w:sz="0" w:space="0" w:color="auto"/>
                  </w:divBdr>
                </w:div>
                <w:div w:id="975333879">
                  <w:marLeft w:val="0"/>
                  <w:marRight w:val="0"/>
                  <w:marTop w:val="0"/>
                  <w:marBottom w:val="0"/>
                  <w:divBdr>
                    <w:top w:val="none" w:sz="0" w:space="0" w:color="auto"/>
                    <w:left w:val="none" w:sz="0" w:space="0" w:color="auto"/>
                    <w:bottom w:val="none" w:sz="0" w:space="0" w:color="auto"/>
                    <w:right w:val="none" w:sz="0" w:space="0" w:color="auto"/>
                  </w:divBdr>
                </w:div>
                <w:div w:id="10509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30366">
      <w:bodyDiv w:val="1"/>
      <w:marLeft w:val="0"/>
      <w:marRight w:val="0"/>
      <w:marTop w:val="0"/>
      <w:marBottom w:val="0"/>
      <w:divBdr>
        <w:top w:val="none" w:sz="0" w:space="0" w:color="auto"/>
        <w:left w:val="none" w:sz="0" w:space="0" w:color="auto"/>
        <w:bottom w:val="none" w:sz="0" w:space="0" w:color="auto"/>
        <w:right w:val="none" w:sz="0" w:space="0" w:color="auto"/>
      </w:divBdr>
      <w:divsChild>
        <w:div w:id="1300921562">
          <w:marLeft w:val="0"/>
          <w:marRight w:val="0"/>
          <w:marTop w:val="15"/>
          <w:marBottom w:val="0"/>
          <w:divBdr>
            <w:top w:val="single" w:sz="48" w:space="0" w:color="auto"/>
            <w:left w:val="single" w:sz="48" w:space="0" w:color="auto"/>
            <w:bottom w:val="single" w:sz="48" w:space="0" w:color="auto"/>
            <w:right w:val="single" w:sz="48" w:space="0" w:color="auto"/>
          </w:divBdr>
          <w:divsChild>
            <w:div w:id="196431089">
              <w:marLeft w:val="0"/>
              <w:marRight w:val="0"/>
              <w:marTop w:val="0"/>
              <w:marBottom w:val="0"/>
              <w:divBdr>
                <w:top w:val="none" w:sz="0" w:space="0" w:color="auto"/>
                <w:left w:val="none" w:sz="0" w:space="0" w:color="auto"/>
                <w:bottom w:val="none" w:sz="0" w:space="0" w:color="auto"/>
                <w:right w:val="none" w:sz="0" w:space="0" w:color="auto"/>
              </w:divBdr>
              <w:divsChild>
                <w:div w:id="1053113694">
                  <w:marLeft w:val="0"/>
                  <w:marRight w:val="0"/>
                  <w:marTop w:val="0"/>
                  <w:marBottom w:val="0"/>
                  <w:divBdr>
                    <w:top w:val="none" w:sz="0" w:space="0" w:color="auto"/>
                    <w:left w:val="none" w:sz="0" w:space="0" w:color="auto"/>
                    <w:bottom w:val="none" w:sz="0" w:space="0" w:color="auto"/>
                    <w:right w:val="none" w:sz="0" w:space="0" w:color="auto"/>
                  </w:divBdr>
                </w:div>
                <w:div w:id="1327199072">
                  <w:marLeft w:val="0"/>
                  <w:marRight w:val="0"/>
                  <w:marTop w:val="0"/>
                  <w:marBottom w:val="0"/>
                  <w:divBdr>
                    <w:top w:val="none" w:sz="0" w:space="0" w:color="auto"/>
                    <w:left w:val="none" w:sz="0" w:space="0" w:color="auto"/>
                    <w:bottom w:val="none" w:sz="0" w:space="0" w:color="auto"/>
                    <w:right w:val="none" w:sz="0" w:space="0" w:color="auto"/>
                  </w:divBdr>
                </w:div>
                <w:div w:id="1585332230">
                  <w:marLeft w:val="0"/>
                  <w:marRight w:val="0"/>
                  <w:marTop w:val="0"/>
                  <w:marBottom w:val="0"/>
                  <w:divBdr>
                    <w:top w:val="none" w:sz="0" w:space="0" w:color="auto"/>
                    <w:left w:val="none" w:sz="0" w:space="0" w:color="auto"/>
                    <w:bottom w:val="none" w:sz="0" w:space="0" w:color="auto"/>
                    <w:right w:val="none" w:sz="0" w:space="0" w:color="auto"/>
                  </w:divBdr>
                </w:div>
                <w:div w:id="956257920">
                  <w:marLeft w:val="0"/>
                  <w:marRight w:val="0"/>
                  <w:marTop w:val="0"/>
                  <w:marBottom w:val="0"/>
                  <w:divBdr>
                    <w:top w:val="none" w:sz="0" w:space="0" w:color="auto"/>
                    <w:left w:val="none" w:sz="0" w:space="0" w:color="auto"/>
                    <w:bottom w:val="none" w:sz="0" w:space="0" w:color="auto"/>
                    <w:right w:val="none" w:sz="0" w:space="0" w:color="auto"/>
                  </w:divBdr>
                </w:div>
                <w:div w:id="525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129">
          <w:marLeft w:val="0"/>
          <w:marRight w:val="0"/>
          <w:marTop w:val="15"/>
          <w:marBottom w:val="0"/>
          <w:divBdr>
            <w:top w:val="single" w:sz="48" w:space="0" w:color="auto"/>
            <w:left w:val="single" w:sz="48" w:space="0" w:color="auto"/>
            <w:bottom w:val="single" w:sz="48" w:space="0" w:color="auto"/>
            <w:right w:val="single" w:sz="48" w:space="0" w:color="auto"/>
          </w:divBdr>
          <w:divsChild>
            <w:div w:id="1449815159">
              <w:marLeft w:val="0"/>
              <w:marRight w:val="0"/>
              <w:marTop w:val="0"/>
              <w:marBottom w:val="0"/>
              <w:divBdr>
                <w:top w:val="none" w:sz="0" w:space="0" w:color="auto"/>
                <w:left w:val="none" w:sz="0" w:space="0" w:color="auto"/>
                <w:bottom w:val="none" w:sz="0" w:space="0" w:color="auto"/>
                <w:right w:val="none" w:sz="0" w:space="0" w:color="auto"/>
              </w:divBdr>
              <w:divsChild>
                <w:div w:id="1668049948">
                  <w:marLeft w:val="0"/>
                  <w:marRight w:val="0"/>
                  <w:marTop w:val="0"/>
                  <w:marBottom w:val="0"/>
                  <w:divBdr>
                    <w:top w:val="none" w:sz="0" w:space="0" w:color="auto"/>
                    <w:left w:val="none" w:sz="0" w:space="0" w:color="auto"/>
                    <w:bottom w:val="none" w:sz="0" w:space="0" w:color="auto"/>
                    <w:right w:val="none" w:sz="0" w:space="0" w:color="auto"/>
                  </w:divBdr>
                </w:div>
                <w:div w:id="225728065">
                  <w:marLeft w:val="0"/>
                  <w:marRight w:val="0"/>
                  <w:marTop w:val="0"/>
                  <w:marBottom w:val="0"/>
                  <w:divBdr>
                    <w:top w:val="none" w:sz="0" w:space="0" w:color="auto"/>
                    <w:left w:val="none" w:sz="0" w:space="0" w:color="auto"/>
                    <w:bottom w:val="none" w:sz="0" w:space="0" w:color="auto"/>
                    <w:right w:val="none" w:sz="0" w:space="0" w:color="auto"/>
                  </w:divBdr>
                </w:div>
                <w:div w:id="407922162">
                  <w:marLeft w:val="0"/>
                  <w:marRight w:val="0"/>
                  <w:marTop w:val="0"/>
                  <w:marBottom w:val="0"/>
                  <w:divBdr>
                    <w:top w:val="none" w:sz="0" w:space="0" w:color="auto"/>
                    <w:left w:val="none" w:sz="0" w:space="0" w:color="auto"/>
                    <w:bottom w:val="none" w:sz="0" w:space="0" w:color="auto"/>
                    <w:right w:val="none" w:sz="0" w:space="0" w:color="auto"/>
                  </w:divBdr>
                </w:div>
                <w:div w:id="194201282">
                  <w:marLeft w:val="0"/>
                  <w:marRight w:val="0"/>
                  <w:marTop w:val="0"/>
                  <w:marBottom w:val="0"/>
                  <w:divBdr>
                    <w:top w:val="none" w:sz="0" w:space="0" w:color="auto"/>
                    <w:left w:val="none" w:sz="0" w:space="0" w:color="auto"/>
                    <w:bottom w:val="none" w:sz="0" w:space="0" w:color="auto"/>
                    <w:right w:val="none" w:sz="0" w:space="0" w:color="auto"/>
                  </w:divBdr>
                </w:div>
                <w:div w:id="673000735">
                  <w:marLeft w:val="0"/>
                  <w:marRight w:val="0"/>
                  <w:marTop w:val="0"/>
                  <w:marBottom w:val="0"/>
                  <w:divBdr>
                    <w:top w:val="none" w:sz="0" w:space="0" w:color="auto"/>
                    <w:left w:val="none" w:sz="0" w:space="0" w:color="auto"/>
                    <w:bottom w:val="none" w:sz="0" w:space="0" w:color="auto"/>
                    <w:right w:val="none" w:sz="0" w:space="0" w:color="auto"/>
                  </w:divBdr>
                </w:div>
                <w:div w:id="7876343">
                  <w:marLeft w:val="0"/>
                  <w:marRight w:val="0"/>
                  <w:marTop w:val="0"/>
                  <w:marBottom w:val="0"/>
                  <w:divBdr>
                    <w:top w:val="none" w:sz="0" w:space="0" w:color="auto"/>
                    <w:left w:val="none" w:sz="0" w:space="0" w:color="auto"/>
                    <w:bottom w:val="none" w:sz="0" w:space="0" w:color="auto"/>
                    <w:right w:val="none" w:sz="0" w:space="0" w:color="auto"/>
                  </w:divBdr>
                </w:div>
                <w:div w:id="1244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F791B-EA50-4718-B5D8-E9D92DDE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43</Pages>
  <Words>5138</Words>
  <Characters>29290</Characters>
  <Application>Microsoft Office Word</Application>
  <DocSecurity>0</DocSecurity>
  <Lines>244</Lines>
  <Paragraphs>68</Paragraphs>
  <ScaleCrop>false</ScaleCrop>
  <Company>神州网信技术有限公司</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项新月</dc:creator>
  <cp:lastModifiedBy>杨牧青</cp:lastModifiedBy>
  <cp:revision>66</cp:revision>
  <cp:lastPrinted>2023-10-27T05:22:00Z</cp:lastPrinted>
  <dcterms:created xsi:type="dcterms:W3CDTF">2022-07-21T09:51:00Z</dcterms:created>
  <dcterms:modified xsi:type="dcterms:W3CDTF">2023-11-20T05:44:00Z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