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482BB"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570839B1"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6AF94C6A" w14:textId="1B119A3C" w:rsidR="00A043A5" w:rsidRDefault="00A043A5">
      <w:pPr>
        <w:adjustRightInd w:val="0"/>
        <w:snapToGrid w:val="0"/>
        <w:spacing w:before="240" w:after="240" w:line="276" w:lineRule="auto"/>
        <w:jc w:val="center"/>
        <w:rPr>
          <w:rFonts w:asciiTheme="minorEastAsia" w:eastAsiaTheme="minorEastAsia" w:hAnsiTheme="minorEastAsia" w:cs="Arial"/>
          <w:b/>
          <w:sz w:val="44"/>
        </w:rPr>
      </w:pPr>
      <w:r>
        <w:rPr>
          <w:rFonts w:asciiTheme="minorEastAsia" w:eastAsiaTheme="minorEastAsia" w:hAnsiTheme="minorEastAsia" w:cs="Arial" w:hint="eastAsia"/>
          <w:b/>
          <w:sz w:val="44"/>
        </w:rPr>
        <w:t>嘉实</w:t>
      </w:r>
      <w:r w:rsidR="00AE33C2">
        <w:rPr>
          <w:rFonts w:asciiTheme="minorEastAsia" w:eastAsiaTheme="minorEastAsia" w:hAnsiTheme="minorEastAsia" w:cs="Arial" w:hint="eastAsia"/>
          <w:b/>
          <w:sz w:val="44"/>
        </w:rPr>
        <w:t>稳健增利6个月持有期</w:t>
      </w:r>
      <w:r>
        <w:rPr>
          <w:rFonts w:asciiTheme="minorEastAsia" w:eastAsiaTheme="minorEastAsia" w:hAnsiTheme="minorEastAsia" w:cs="Arial" w:hint="eastAsia"/>
          <w:b/>
          <w:sz w:val="44"/>
        </w:rPr>
        <w:t>混合</w:t>
      </w:r>
      <w:r w:rsidR="00AF3B6B" w:rsidRPr="0040323D">
        <w:rPr>
          <w:rFonts w:asciiTheme="minorEastAsia" w:eastAsiaTheme="minorEastAsia" w:hAnsiTheme="minorEastAsia" w:cs="Arial"/>
          <w:b/>
          <w:sz w:val="44"/>
        </w:rPr>
        <w:t>型证券投资基金</w:t>
      </w:r>
    </w:p>
    <w:p w14:paraId="2DAC7126" w14:textId="77777777" w:rsidR="00A043A5" w:rsidRDefault="00AF3B6B">
      <w:pPr>
        <w:adjustRightInd w:val="0"/>
        <w:snapToGrid w:val="0"/>
        <w:spacing w:before="240" w:after="240" w:line="276" w:lineRule="auto"/>
        <w:jc w:val="center"/>
        <w:rPr>
          <w:rFonts w:asciiTheme="minorEastAsia" w:eastAsiaTheme="minorEastAsia" w:hAnsiTheme="minorEastAsia" w:cs="Arial"/>
          <w:b/>
          <w:sz w:val="44"/>
        </w:rPr>
      </w:pPr>
      <w:r w:rsidRPr="0040323D">
        <w:rPr>
          <w:rFonts w:asciiTheme="minorEastAsia" w:eastAsiaTheme="minorEastAsia" w:hAnsiTheme="minorEastAsia" w:cs="Arial" w:hint="eastAsia"/>
          <w:b/>
          <w:sz w:val="44"/>
        </w:rPr>
        <w:t>托管协议</w:t>
      </w:r>
    </w:p>
    <w:p w14:paraId="4EEE4CBC"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2702B6BE" w14:textId="77777777" w:rsidR="009D164B" w:rsidRPr="00A043A5" w:rsidRDefault="009D164B">
      <w:pPr>
        <w:adjustRightInd w:val="0"/>
        <w:snapToGrid w:val="0"/>
        <w:spacing w:before="240" w:after="240" w:line="276" w:lineRule="auto"/>
        <w:jc w:val="center"/>
        <w:rPr>
          <w:rFonts w:asciiTheme="minorEastAsia" w:eastAsiaTheme="minorEastAsia" w:hAnsiTheme="minorEastAsia" w:cs="Arial"/>
          <w:sz w:val="24"/>
        </w:rPr>
      </w:pPr>
    </w:p>
    <w:p w14:paraId="2E2966D3"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055A714A"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79B8E60B"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455E1CBF"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4681A2D4" w14:textId="77777777" w:rsidR="009D164B" w:rsidRPr="0040323D" w:rsidRDefault="00AF3B6B">
      <w:pPr>
        <w:adjustRightInd w:val="0"/>
        <w:snapToGrid w:val="0"/>
        <w:spacing w:before="240" w:after="240" w:line="276" w:lineRule="auto"/>
        <w:jc w:val="center"/>
        <w:rPr>
          <w:rFonts w:asciiTheme="minorEastAsia" w:eastAsiaTheme="minorEastAsia" w:hAnsiTheme="minorEastAsia" w:cs="Arial"/>
          <w:b/>
          <w:sz w:val="28"/>
          <w:szCs w:val="28"/>
        </w:rPr>
      </w:pPr>
      <w:r w:rsidRPr="0040323D">
        <w:rPr>
          <w:rFonts w:asciiTheme="minorEastAsia" w:eastAsiaTheme="minorEastAsia" w:hAnsiTheme="minorEastAsia" w:cs="Arial" w:hint="eastAsia"/>
          <w:b/>
          <w:sz w:val="28"/>
          <w:szCs w:val="28"/>
        </w:rPr>
        <w:t>基金管理人：嘉实基金管理有限公司</w:t>
      </w:r>
    </w:p>
    <w:p w14:paraId="765077E1" w14:textId="77777777" w:rsidR="009D164B" w:rsidRPr="0040323D" w:rsidRDefault="00AF3B6B">
      <w:pPr>
        <w:adjustRightInd w:val="0"/>
        <w:snapToGrid w:val="0"/>
        <w:spacing w:before="240" w:after="240" w:line="276" w:lineRule="auto"/>
        <w:jc w:val="center"/>
        <w:rPr>
          <w:rFonts w:asciiTheme="minorEastAsia" w:eastAsiaTheme="minorEastAsia" w:hAnsiTheme="minorEastAsia" w:cs="Arial"/>
          <w:b/>
          <w:sz w:val="28"/>
          <w:szCs w:val="28"/>
        </w:rPr>
      </w:pPr>
      <w:r w:rsidRPr="0040323D">
        <w:rPr>
          <w:rFonts w:asciiTheme="minorEastAsia" w:eastAsiaTheme="minorEastAsia" w:hAnsiTheme="minorEastAsia" w:cs="Arial" w:hint="eastAsia"/>
          <w:b/>
          <w:sz w:val="28"/>
          <w:szCs w:val="28"/>
        </w:rPr>
        <w:t>基金托管人：中国建设银行股份有限公司</w:t>
      </w:r>
    </w:p>
    <w:p w14:paraId="0813DCEA"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7D0EBF51"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39CE7D1D" w14:textId="77777777" w:rsidR="009D164B" w:rsidRPr="0040323D" w:rsidRDefault="009D164B">
      <w:pPr>
        <w:adjustRightInd w:val="0"/>
        <w:snapToGrid w:val="0"/>
        <w:spacing w:before="240" w:after="240" w:line="276" w:lineRule="auto"/>
        <w:jc w:val="center"/>
        <w:rPr>
          <w:rFonts w:asciiTheme="minorEastAsia" w:eastAsiaTheme="minorEastAsia" w:hAnsiTheme="minorEastAsia" w:cs="Arial"/>
          <w:sz w:val="24"/>
        </w:rPr>
      </w:pPr>
    </w:p>
    <w:p w14:paraId="41A29096" w14:textId="5FE426CF" w:rsidR="009D164B" w:rsidRPr="00222815" w:rsidRDefault="00AF3B6B">
      <w:pPr>
        <w:adjustRightInd w:val="0"/>
        <w:snapToGrid w:val="0"/>
        <w:spacing w:before="240" w:after="240" w:line="276" w:lineRule="auto"/>
        <w:jc w:val="center"/>
        <w:rPr>
          <w:rFonts w:asciiTheme="minorEastAsia" w:eastAsiaTheme="minorEastAsia" w:hAnsiTheme="minorEastAsia" w:cs="Arial"/>
          <w:b/>
          <w:sz w:val="28"/>
          <w:szCs w:val="28"/>
        </w:rPr>
      </w:pPr>
      <w:r w:rsidRPr="00222815">
        <w:rPr>
          <w:rFonts w:asciiTheme="minorEastAsia" w:eastAsiaTheme="minorEastAsia" w:hAnsiTheme="minorEastAsia" w:cs="Arial" w:hint="eastAsia"/>
          <w:b/>
          <w:sz w:val="28"/>
          <w:szCs w:val="28"/>
        </w:rPr>
        <w:t>二零二</w:t>
      </w:r>
      <w:r w:rsidR="008F7012">
        <w:rPr>
          <w:rFonts w:asciiTheme="minorEastAsia" w:eastAsiaTheme="minorEastAsia" w:hAnsiTheme="minorEastAsia" w:cs="Arial" w:hint="eastAsia"/>
          <w:b/>
          <w:sz w:val="28"/>
          <w:szCs w:val="28"/>
        </w:rPr>
        <w:t>三</w:t>
      </w:r>
      <w:r w:rsidRPr="00222815">
        <w:rPr>
          <w:rFonts w:asciiTheme="minorEastAsia" w:eastAsiaTheme="minorEastAsia" w:hAnsiTheme="minorEastAsia" w:cs="Arial" w:hint="eastAsia"/>
          <w:b/>
          <w:sz w:val="28"/>
          <w:szCs w:val="28"/>
        </w:rPr>
        <w:t>年</w:t>
      </w:r>
      <w:r w:rsidR="007D24FD">
        <w:rPr>
          <w:rFonts w:asciiTheme="minorEastAsia" w:eastAsiaTheme="minorEastAsia" w:hAnsiTheme="minorEastAsia" w:cs="Arial" w:hint="eastAsia"/>
          <w:b/>
          <w:sz w:val="28"/>
          <w:szCs w:val="28"/>
        </w:rPr>
        <w:t>十</w:t>
      </w:r>
      <w:r w:rsidR="00D50312">
        <w:rPr>
          <w:rFonts w:asciiTheme="minorEastAsia" w:eastAsiaTheme="minorEastAsia" w:hAnsiTheme="minorEastAsia" w:cs="Arial" w:hint="eastAsia"/>
          <w:b/>
          <w:sz w:val="28"/>
          <w:szCs w:val="28"/>
        </w:rPr>
        <w:t>一</w:t>
      </w:r>
      <w:r w:rsidRPr="00222815">
        <w:rPr>
          <w:rFonts w:asciiTheme="minorEastAsia" w:eastAsiaTheme="minorEastAsia" w:hAnsiTheme="minorEastAsia" w:cs="Arial" w:hint="eastAsia"/>
          <w:b/>
          <w:sz w:val="28"/>
          <w:szCs w:val="28"/>
        </w:rPr>
        <w:t>月</w:t>
      </w:r>
    </w:p>
    <w:p w14:paraId="1491962C" w14:textId="77777777" w:rsidR="009D164B" w:rsidRPr="0040323D" w:rsidRDefault="00AF3B6B">
      <w:pPr>
        <w:widowControl/>
        <w:jc w:val="left"/>
        <w:rPr>
          <w:rFonts w:asciiTheme="minorEastAsia" w:eastAsiaTheme="minorEastAsia" w:hAnsiTheme="minorEastAsia" w:cs="Arial"/>
          <w:bCs/>
          <w:sz w:val="24"/>
        </w:rPr>
      </w:pPr>
      <w:r w:rsidRPr="0040323D">
        <w:rPr>
          <w:rFonts w:asciiTheme="minorEastAsia" w:eastAsiaTheme="minorEastAsia" w:hAnsiTheme="minorEastAsia" w:cs="Arial"/>
          <w:bCs/>
          <w:sz w:val="24"/>
        </w:rPr>
        <w:br w:type="page"/>
      </w:r>
    </w:p>
    <w:p w14:paraId="5CF02746" w14:textId="77777777" w:rsidR="009D164B" w:rsidRPr="00AE33C2" w:rsidRDefault="00AF3B6B">
      <w:pPr>
        <w:spacing w:before="240" w:after="240" w:line="276" w:lineRule="auto"/>
        <w:jc w:val="center"/>
        <w:rPr>
          <w:rFonts w:asciiTheme="minorEastAsia" w:eastAsiaTheme="minorEastAsia" w:hAnsiTheme="minorEastAsia"/>
          <w:b/>
          <w:bCs/>
          <w:sz w:val="28"/>
        </w:rPr>
      </w:pPr>
      <w:r w:rsidRPr="00AE33C2">
        <w:rPr>
          <w:rFonts w:asciiTheme="minorEastAsia" w:eastAsiaTheme="minorEastAsia" w:hAnsiTheme="minorEastAsia" w:hint="eastAsia"/>
          <w:b/>
          <w:bCs/>
          <w:sz w:val="28"/>
        </w:rPr>
        <w:lastRenderedPageBreak/>
        <w:t>目</w:t>
      </w:r>
      <w:r w:rsidRPr="00AE33C2">
        <w:rPr>
          <w:rFonts w:asciiTheme="minorEastAsia" w:eastAsiaTheme="minorEastAsia" w:hAnsiTheme="minorEastAsia"/>
          <w:b/>
          <w:bCs/>
          <w:sz w:val="28"/>
        </w:rPr>
        <w:t xml:space="preserve">    </w:t>
      </w:r>
      <w:r w:rsidRPr="00AE33C2">
        <w:rPr>
          <w:rFonts w:asciiTheme="minorEastAsia" w:eastAsiaTheme="minorEastAsia" w:hAnsiTheme="minorEastAsia" w:hint="eastAsia"/>
          <w:b/>
          <w:bCs/>
          <w:sz w:val="28"/>
        </w:rPr>
        <w:t>录</w:t>
      </w:r>
    </w:p>
    <w:p w14:paraId="041FA2F1" w14:textId="74981AEE" w:rsidR="009D164B" w:rsidRPr="00AE33C2" w:rsidRDefault="00AF3B6B" w:rsidP="00AE33C2">
      <w:pPr>
        <w:pStyle w:val="23"/>
        <w:tabs>
          <w:tab w:val="right" w:leader="dot" w:pos="8494"/>
        </w:tabs>
        <w:spacing w:before="240" w:after="240"/>
        <w:rPr>
          <w:rFonts w:asciiTheme="minorEastAsia" w:eastAsiaTheme="minorEastAsia" w:hAnsiTheme="minorEastAsia"/>
          <w:noProof/>
          <w:sz w:val="24"/>
        </w:rPr>
      </w:pPr>
      <w:r w:rsidRPr="00AE33C2">
        <w:rPr>
          <w:rFonts w:asciiTheme="minorEastAsia" w:eastAsiaTheme="minorEastAsia" w:hAnsiTheme="minorEastAsia" w:hint="eastAsia"/>
          <w:sz w:val="24"/>
        </w:rPr>
        <w:fldChar w:fldCharType="begin"/>
      </w:r>
      <w:r w:rsidRPr="00AE33C2">
        <w:rPr>
          <w:rFonts w:asciiTheme="minorEastAsia" w:eastAsiaTheme="minorEastAsia" w:hAnsiTheme="minorEastAsia"/>
          <w:sz w:val="24"/>
        </w:rPr>
        <w:instrText xml:space="preserve"> TOC \o "1-2" \h \z </w:instrText>
      </w:r>
      <w:r w:rsidRPr="00AE33C2">
        <w:rPr>
          <w:rFonts w:asciiTheme="minorEastAsia" w:eastAsiaTheme="minorEastAsia" w:hAnsiTheme="minorEastAsia" w:hint="eastAsia"/>
          <w:sz w:val="24"/>
        </w:rPr>
        <w:fldChar w:fldCharType="separate"/>
      </w:r>
      <w:hyperlink w:anchor="_Toc124325885" w:history="1">
        <w:r w:rsidRPr="00AE33C2">
          <w:rPr>
            <w:rStyle w:val="af5"/>
            <w:rFonts w:asciiTheme="minorEastAsia" w:eastAsiaTheme="minorEastAsia" w:hAnsiTheme="minorEastAsia" w:hint="eastAsia"/>
            <w:noProof/>
            <w:sz w:val="24"/>
            <w:szCs w:val="32"/>
          </w:rPr>
          <w:t>一、基金托管协议当</w:t>
        </w:r>
        <w:bookmarkStart w:id="0" w:name="_Hlt498420681"/>
        <w:bookmarkStart w:id="1" w:name="_Hlt498420680"/>
        <w:r w:rsidRPr="00AE33C2">
          <w:rPr>
            <w:rStyle w:val="af5"/>
            <w:rFonts w:asciiTheme="minorEastAsia" w:eastAsiaTheme="minorEastAsia" w:hAnsiTheme="minorEastAsia" w:hint="eastAsia"/>
            <w:noProof/>
            <w:sz w:val="24"/>
            <w:szCs w:val="32"/>
          </w:rPr>
          <w:t>事</w:t>
        </w:r>
        <w:bookmarkEnd w:id="0"/>
        <w:bookmarkEnd w:id="1"/>
        <w:r w:rsidRPr="00AE33C2">
          <w:rPr>
            <w:rStyle w:val="af5"/>
            <w:rFonts w:asciiTheme="minorEastAsia" w:eastAsiaTheme="minorEastAsia" w:hAnsiTheme="minorEastAsia" w:hint="eastAsia"/>
            <w:noProof/>
            <w:sz w:val="24"/>
            <w:szCs w:val="32"/>
          </w:rPr>
          <w:t>人</w:t>
        </w:r>
        <w:r w:rsidRPr="00AE33C2">
          <w:rPr>
            <w:rFonts w:asciiTheme="minorEastAsia" w:eastAsiaTheme="minorEastAsia" w:hAnsiTheme="minorEastAsia"/>
            <w:noProof/>
            <w:sz w:val="24"/>
          </w:rPr>
          <w:tab/>
        </w:r>
        <w:r w:rsidRPr="00AE33C2">
          <w:rPr>
            <w:rFonts w:asciiTheme="minorEastAsia" w:eastAsiaTheme="minorEastAsia" w:hAnsiTheme="minorEastAsia" w:hint="eastAsia"/>
            <w:noProof/>
            <w:sz w:val="24"/>
          </w:rPr>
          <w:fldChar w:fldCharType="begin"/>
        </w:r>
        <w:r w:rsidRPr="00AE33C2">
          <w:rPr>
            <w:rFonts w:asciiTheme="minorEastAsia" w:eastAsiaTheme="minorEastAsia" w:hAnsiTheme="minorEastAsia"/>
            <w:noProof/>
            <w:sz w:val="24"/>
          </w:rPr>
          <w:instrText xml:space="preserve"> PAGEREF _Toc124325885 \h </w:instrText>
        </w:r>
        <w:r w:rsidRPr="00AE33C2">
          <w:rPr>
            <w:rFonts w:asciiTheme="minorEastAsia" w:eastAsiaTheme="minorEastAsia" w:hAnsiTheme="minorEastAsia" w:hint="eastAsia"/>
            <w:noProof/>
            <w:sz w:val="24"/>
          </w:rPr>
        </w:r>
        <w:r w:rsidRPr="00AE33C2">
          <w:rPr>
            <w:rFonts w:asciiTheme="minorEastAsia" w:eastAsiaTheme="minorEastAsia" w:hAnsiTheme="minorEastAsia" w:hint="eastAsia"/>
            <w:noProof/>
            <w:sz w:val="24"/>
          </w:rPr>
          <w:fldChar w:fldCharType="separate"/>
        </w:r>
        <w:r w:rsidR="00317774">
          <w:rPr>
            <w:rFonts w:asciiTheme="minorEastAsia" w:eastAsiaTheme="minorEastAsia" w:hAnsiTheme="minorEastAsia"/>
            <w:noProof/>
            <w:sz w:val="24"/>
          </w:rPr>
          <w:t>4</w:t>
        </w:r>
        <w:r w:rsidRPr="00AE33C2">
          <w:rPr>
            <w:rFonts w:asciiTheme="minorEastAsia" w:eastAsiaTheme="minorEastAsia" w:hAnsiTheme="minorEastAsia" w:hint="eastAsia"/>
            <w:noProof/>
            <w:sz w:val="24"/>
          </w:rPr>
          <w:fldChar w:fldCharType="end"/>
        </w:r>
      </w:hyperlink>
    </w:p>
    <w:p w14:paraId="4CBAAA5A" w14:textId="73CC188E"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86" w:history="1">
        <w:r w:rsidR="00AF3B6B" w:rsidRPr="00AE33C2">
          <w:rPr>
            <w:rStyle w:val="af5"/>
            <w:rFonts w:asciiTheme="minorEastAsia" w:eastAsiaTheme="minorEastAsia" w:hAnsiTheme="minorEastAsia" w:hint="eastAsia"/>
            <w:noProof/>
            <w:sz w:val="24"/>
            <w:szCs w:val="32"/>
          </w:rPr>
          <w:t>二、基金托管协议的依据、目的和原则</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_Toc124325886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5</w:t>
        </w:r>
        <w:r w:rsidR="00AF3B6B" w:rsidRPr="00AE33C2">
          <w:rPr>
            <w:rFonts w:asciiTheme="minorEastAsia" w:eastAsiaTheme="minorEastAsia" w:hAnsiTheme="minorEastAsia" w:hint="eastAsia"/>
            <w:noProof/>
            <w:sz w:val="24"/>
          </w:rPr>
          <w:fldChar w:fldCharType="end"/>
        </w:r>
      </w:hyperlink>
    </w:p>
    <w:p w14:paraId="30261E61" w14:textId="0A6844DD"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87" w:history="1">
        <w:r w:rsidR="00AF3B6B" w:rsidRPr="00AE33C2">
          <w:rPr>
            <w:rStyle w:val="af5"/>
            <w:rFonts w:asciiTheme="minorEastAsia" w:eastAsiaTheme="minorEastAsia" w:hAnsiTheme="minorEastAsia" w:hint="eastAsia"/>
            <w:noProof/>
            <w:sz w:val="24"/>
            <w:szCs w:val="32"/>
          </w:rPr>
          <w:t>三、基金托管人对基金管理人的业务监督和核查</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_Toc124325887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5</w:t>
        </w:r>
        <w:r w:rsidR="00AF3B6B" w:rsidRPr="00AE33C2">
          <w:rPr>
            <w:rFonts w:asciiTheme="minorEastAsia" w:eastAsiaTheme="minorEastAsia" w:hAnsiTheme="minorEastAsia" w:hint="eastAsia"/>
            <w:noProof/>
            <w:sz w:val="24"/>
          </w:rPr>
          <w:fldChar w:fldCharType="end"/>
        </w:r>
      </w:hyperlink>
    </w:p>
    <w:p w14:paraId="4168475B" w14:textId="2D0B374D"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88" w:history="1">
        <w:r w:rsidR="00AF3B6B" w:rsidRPr="00AE33C2">
          <w:rPr>
            <w:rStyle w:val="af5"/>
            <w:rFonts w:asciiTheme="minorEastAsia" w:eastAsiaTheme="minorEastAsia" w:hAnsiTheme="minorEastAsia" w:hint="eastAsia"/>
            <w:noProof/>
            <w:sz w:val="24"/>
            <w:szCs w:val="32"/>
          </w:rPr>
          <w:t>四、基金管理人对基金托管人的业务核查</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_Toc124325888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12</w:t>
        </w:r>
        <w:r w:rsidR="00AF3B6B" w:rsidRPr="00AE33C2">
          <w:rPr>
            <w:rFonts w:asciiTheme="minorEastAsia" w:eastAsiaTheme="minorEastAsia" w:hAnsiTheme="minorEastAsia" w:hint="eastAsia"/>
            <w:noProof/>
            <w:sz w:val="24"/>
          </w:rPr>
          <w:fldChar w:fldCharType="end"/>
        </w:r>
      </w:hyperlink>
    </w:p>
    <w:p w14:paraId="588638E9" w14:textId="3F9EE92F"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89" w:history="1">
        <w:r w:rsidR="00AF3B6B" w:rsidRPr="00AE33C2">
          <w:rPr>
            <w:rStyle w:val="af5"/>
            <w:rFonts w:asciiTheme="minorEastAsia" w:eastAsiaTheme="minorEastAsia" w:hAnsiTheme="minorEastAsia" w:hint="eastAsia"/>
            <w:noProof/>
            <w:sz w:val="24"/>
            <w:szCs w:val="32"/>
          </w:rPr>
          <w:t>五、基金财产的保管</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_Toc124325889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13</w:t>
        </w:r>
        <w:r w:rsidR="00AF3B6B" w:rsidRPr="00AE33C2">
          <w:rPr>
            <w:rFonts w:asciiTheme="minorEastAsia" w:eastAsiaTheme="minorEastAsia" w:hAnsiTheme="minorEastAsia" w:hint="eastAsia"/>
            <w:noProof/>
            <w:sz w:val="24"/>
          </w:rPr>
          <w:fldChar w:fldCharType="end"/>
        </w:r>
      </w:hyperlink>
    </w:p>
    <w:p w14:paraId="30422E18" w14:textId="01A42C57"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0" w:history="1">
        <w:r w:rsidR="00AF3B6B" w:rsidRPr="00AE33C2">
          <w:rPr>
            <w:rStyle w:val="af5"/>
            <w:rFonts w:asciiTheme="minorEastAsia" w:eastAsiaTheme="minorEastAsia" w:hAnsiTheme="minorEastAsia" w:hint="eastAsia"/>
            <w:noProof/>
            <w:sz w:val="24"/>
            <w:szCs w:val="32"/>
          </w:rPr>
          <w:t>六、指令的发送、确认及执行</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_Toc124325890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16</w:t>
        </w:r>
        <w:r w:rsidR="00AF3B6B" w:rsidRPr="00AE33C2">
          <w:rPr>
            <w:rFonts w:asciiTheme="minorEastAsia" w:eastAsiaTheme="minorEastAsia" w:hAnsiTheme="minorEastAsia" w:hint="eastAsia"/>
            <w:noProof/>
            <w:sz w:val="24"/>
          </w:rPr>
          <w:fldChar w:fldCharType="end"/>
        </w:r>
      </w:hyperlink>
    </w:p>
    <w:p w14:paraId="75EF1453" w14:textId="170575E0"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1" w:history="1">
        <w:r w:rsidR="00AF3B6B" w:rsidRPr="00AE33C2">
          <w:rPr>
            <w:rStyle w:val="af5"/>
            <w:rFonts w:asciiTheme="minorEastAsia" w:eastAsiaTheme="minorEastAsia" w:hAnsiTheme="minorEastAsia" w:hint="eastAsia"/>
            <w:noProof/>
            <w:sz w:val="24"/>
            <w:szCs w:val="32"/>
          </w:rPr>
          <w:t>七、交易及清算</w:t>
        </w:r>
        <w:bookmarkStart w:id="2" w:name="_Hlt497143549"/>
        <w:bookmarkStart w:id="3" w:name="_Hlt497143548"/>
        <w:r w:rsidR="00AF3B6B" w:rsidRPr="00AE33C2">
          <w:rPr>
            <w:rStyle w:val="af5"/>
            <w:rFonts w:asciiTheme="minorEastAsia" w:eastAsiaTheme="minorEastAsia" w:hAnsiTheme="minorEastAsia" w:hint="eastAsia"/>
            <w:noProof/>
            <w:sz w:val="24"/>
            <w:szCs w:val="32"/>
          </w:rPr>
          <w:t>交</w:t>
        </w:r>
        <w:bookmarkEnd w:id="2"/>
        <w:bookmarkEnd w:id="3"/>
        <w:r w:rsidR="00AF3B6B" w:rsidRPr="00AE33C2">
          <w:rPr>
            <w:rStyle w:val="af5"/>
            <w:rFonts w:asciiTheme="minorEastAsia" w:eastAsiaTheme="minorEastAsia" w:hAnsiTheme="minorEastAsia" w:hint="eastAsia"/>
            <w:noProof/>
            <w:sz w:val="24"/>
            <w:szCs w:val="32"/>
          </w:rPr>
          <w:t>收安</w:t>
        </w:r>
        <w:bookmarkStart w:id="4" w:name="_Hlt419449173"/>
        <w:r w:rsidR="00AF3B6B" w:rsidRPr="00AE33C2">
          <w:rPr>
            <w:rStyle w:val="af5"/>
            <w:rFonts w:asciiTheme="minorEastAsia" w:eastAsiaTheme="minorEastAsia" w:hAnsiTheme="minorEastAsia" w:hint="eastAsia"/>
            <w:noProof/>
            <w:sz w:val="24"/>
            <w:szCs w:val="32"/>
          </w:rPr>
          <w:t>排</w:t>
        </w:r>
        <w:bookmarkEnd w:id="4"/>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_Toc124325891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19</w:t>
        </w:r>
        <w:r w:rsidR="00AF3B6B" w:rsidRPr="00AE33C2">
          <w:rPr>
            <w:rFonts w:asciiTheme="minorEastAsia" w:eastAsiaTheme="minorEastAsia" w:hAnsiTheme="minorEastAsia" w:hint="eastAsia"/>
            <w:noProof/>
            <w:sz w:val="24"/>
          </w:rPr>
          <w:fldChar w:fldCharType="end"/>
        </w:r>
      </w:hyperlink>
    </w:p>
    <w:p w14:paraId="6FEBAA89" w14:textId="401B4E28"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2" w:history="1">
        <w:r w:rsidR="00AF3B6B" w:rsidRPr="00AE33C2">
          <w:rPr>
            <w:rStyle w:val="af5"/>
            <w:rFonts w:asciiTheme="minorEastAsia" w:eastAsiaTheme="minorEastAsia" w:hAnsiTheme="minorEastAsia" w:hint="eastAsia"/>
            <w:noProof/>
            <w:sz w:val="24"/>
            <w:szCs w:val="32"/>
          </w:rPr>
          <w:t>八、基金资产净值</w:t>
        </w:r>
        <w:bookmarkStart w:id="5" w:name="_Hlt419449178"/>
        <w:r w:rsidR="00AF3B6B" w:rsidRPr="00AE33C2">
          <w:rPr>
            <w:rStyle w:val="af5"/>
            <w:rFonts w:asciiTheme="minorEastAsia" w:eastAsiaTheme="minorEastAsia" w:hAnsiTheme="minorEastAsia" w:hint="eastAsia"/>
            <w:noProof/>
            <w:sz w:val="24"/>
            <w:szCs w:val="32"/>
          </w:rPr>
          <w:t>计</w:t>
        </w:r>
        <w:bookmarkEnd w:id="5"/>
        <w:r w:rsidR="00AF3B6B" w:rsidRPr="00AE33C2">
          <w:rPr>
            <w:rStyle w:val="af5"/>
            <w:rFonts w:asciiTheme="minorEastAsia" w:eastAsiaTheme="minorEastAsia" w:hAnsiTheme="minorEastAsia" w:hint="eastAsia"/>
            <w:noProof/>
            <w:sz w:val="24"/>
            <w:szCs w:val="32"/>
          </w:rPr>
          <w:t>算和会计核算</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_Toc124325892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24</w:t>
        </w:r>
        <w:r w:rsidR="00AF3B6B" w:rsidRPr="00AE33C2">
          <w:rPr>
            <w:rFonts w:asciiTheme="minorEastAsia" w:eastAsiaTheme="minorEastAsia" w:hAnsiTheme="minorEastAsia" w:hint="eastAsia"/>
            <w:noProof/>
            <w:sz w:val="24"/>
          </w:rPr>
          <w:fldChar w:fldCharType="end"/>
        </w:r>
      </w:hyperlink>
    </w:p>
    <w:p w14:paraId="3EFA49AC" w14:textId="69CB098E"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3" w:history="1">
        <w:r w:rsidR="00AF3B6B" w:rsidRPr="00AE33C2">
          <w:rPr>
            <w:rStyle w:val="af5"/>
            <w:rFonts w:asciiTheme="minorEastAsia" w:eastAsiaTheme="minorEastAsia" w:hAnsiTheme="minorEastAsia" w:hint="eastAsia"/>
            <w:noProof/>
            <w:sz w:val="24"/>
            <w:szCs w:val="32"/>
          </w:rPr>
          <w:t>九、基金收益分配</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_Toc124325893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31</w:t>
        </w:r>
        <w:r w:rsidR="00AF3B6B" w:rsidRPr="00AE33C2">
          <w:rPr>
            <w:rFonts w:asciiTheme="minorEastAsia" w:eastAsiaTheme="minorEastAsia" w:hAnsiTheme="minorEastAsia" w:hint="eastAsia"/>
            <w:noProof/>
            <w:sz w:val="24"/>
          </w:rPr>
          <w:fldChar w:fldCharType="end"/>
        </w:r>
      </w:hyperlink>
    </w:p>
    <w:p w14:paraId="22E927B9" w14:textId="3A6BB0BA"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4" w:history="1">
        <w:r w:rsidR="00AF3B6B" w:rsidRPr="00AE33C2">
          <w:rPr>
            <w:rStyle w:val="af5"/>
            <w:rFonts w:asciiTheme="minorEastAsia" w:eastAsiaTheme="minorEastAsia" w:hAnsiTheme="minorEastAsia" w:hint="eastAsia"/>
            <w:noProof/>
            <w:sz w:val="24"/>
            <w:szCs w:val="32"/>
          </w:rPr>
          <w:t>十、基金信息披露</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_Toc124325894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32</w:t>
        </w:r>
        <w:r w:rsidR="00AF3B6B" w:rsidRPr="00AE33C2">
          <w:rPr>
            <w:rFonts w:asciiTheme="minorEastAsia" w:eastAsiaTheme="minorEastAsia" w:hAnsiTheme="minorEastAsia" w:hint="eastAsia"/>
            <w:noProof/>
            <w:sz w:val="24"/>
          </w:rPr>
          <w:fldChar w:fldCharType="end"/>
        </w:r>
      </w:hyperlink>
    </w:p>
    <w:p w14:paraId="65A5AEAF" w14:textId="342B6F32"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5" w:history="1">
        <w:r w:rsidR="00AF3B6B" w:rsidRPr="00AE33C2">
          <w:rPr>
            <w:rStyle w:val="af5"/>
            <w:rFonts w:asciiTheme="minorEastAsia" w:eastAsiaTheme="minorEastAsia" w:hAnsiTheme="minorEastAsia" w:hint="eastAsia"/>
            <w:noProof/>
            <w:sz w:val="24"/>
            <w:szCs w:val="32"/>
          </w:rPr>
          <w:t>十一、基金费用</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_Toc124325895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34</w:t>
        </w:r>
        <w:r w:rsidR="00AF3B6B" w:rsidRPr="00AE33C2">
          <w:rPr>
            <w:rFonts w:asciiTheme="minorEastAsia" w:eastAsiaTheme="minorEastAsia" w:hAnsiTheme="minorEastAsia" w:hint="eastAsia"/>
            <w:noProof/>
            <w:sz w:val="24"/>
          </w:rPr>
          <w:fldChar w:fldCharType="end"/>
        </w:r>
      </w:hyperlink>
    </w:p>
    <w:p w14:paraId="202B5E8C" w14:textId="4E715854"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6" w:history="1">
        <w:r w:rsidR="00AF3B6B" w:rsidRPr="00AE33C2">
          <w:rPr>
            <w:rStyle w:val="af5"/>
            <w:rFonts w:asciiTheme="minorEastAsia" w:eastAsiaTheme="minorEastAsia" w:hAnsiTheme="minorEastAsia" w:hint="eastAsia"/>
            <w:noProof/>
            <w:sz w:val="24"/>
            <w:szCs w:val="32"/>
          </w:rPr>
          <w:t>十二、基金份额持有人名册的保管</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_Toc124325896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36</w:t>
        </w:r>
        <w:r w:rsidR="00AF3B6B" w:rsidRPr="00AE33C2">
          <w:rPr>
            <w:rFonts w:asciiTheme="minorEastAsia" w:eastAsiaTheme="minorEastAsia" w:hAnsiTheme="minorEastAsia" w:hint="eastAsia"/>
            <w:noProof/>
            <w:sz w:val="24"/>
          </w:rPr>
          <w:fldChar w:fldCharType="end"/>
        </w:r>
      </w:hyperlink>
    </w:p>
    <w:p w14:paraId="3AD6D4B6" w14:textId="274A440F"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7" w:history="1">
        <w:r w:rsidR="00AF3B6B" w:rsidRPr="00AE33C2">
          <w:rPr>
            <w:rStyle w:val="af5"/>
            <w:rFonts w:asciiTheme="minorEastAsia" w:eastAsiaTheme="minorEastAsia" w:hAnsiTheme="minorEastAsia" w:hint="eastAsia"/>
            <w:noProof/>
            <w:sz w:val="24"/>
            <w:szCs w:val="32"/>
          </w:rPr>
          <w:t>十三、基金有关文件档案的保存</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_Toc124325897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36</w:t>
        </w:r>
        <w:r w:rsidR="00AF3B6B" w:rsidRPr="00AE33C2">
          <w:rPr>
            <w:rFonts w:asciiTheme="minorEastAsia" w:eastAsiaTheme="minorEastAsia" w:hAnsiTheme="minorEastAsia" w:hint="eastAsia"/>
            <w:noProof/>
            <w:sz w:val="24"/>
          </w:rPr>
          <w:fldChar w:fldCharType="end"/>
        </w:r>
      </w:hyperlink>
    </w:p>
    <w:p w14:paraId="5EAB1844" w14:textId="13078D03"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8" w:history="1">
        <w:r w:rsidR="00AF3B6B" w:rsidRPr="00AE33C2">
          <w:rPr>
            <w:rStyle w:val="af5"/>
            <w:rFonts w:asciiTheme="minorEastAsia" w:eastAsiaTheme="minorEastAsia" w:hAnsiTheme="minorEastAsia" w:hint="eastAsia"/>
            <w:noProof/>
            <w:sz w:val="24"/>
            <w:szCs w:val="32"/>
          </w:rPr>
          <w:t>十四、基金管理人和基金托管人的更换</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_Toc124325898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37</w:t>
        </w:r>
        <w:r w:rsidR="00AF3B6B" w:rsidRPr="00AE33C2">
          <w:rPr>
            <w:rFonts w:asciiTheme="minorEastAsia" w:eastAsiaTheme="minorEastAsia" w:hAnsiTheme="minorEastAsia" w:hint="eastAsia"/>
            <w:noProof/>
            <w:sz w:val="24"/>
          </w:rPr>
          <w:fldChar w:fldCharType="end"/>
        </w:r>
      </w:hyperlink>
    </w:p>
    <w:p w14:paraId="64CED3D9" w14:textId="1A0CC9EB"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899" w:history="1">
        <w:r w:rsidR="00AF3B6B" w:rsidRPr="00AE33C2">
          <w:rPr>
            <w:rStyle w:val="af5"/>
            <w:rFonts w:asciiTheme="minorEastAsia" w:eastAsiaTheme="minorEastAsia" w:hAnsiTheme="minorEastAsia" w:hint="eastAsia"/>
            <w:noProof/>
            <w:sz w:val="24"/>
            <w:szCs w:val="32"/>
          </w:rPr>
          <w:t>十五、禁止行为</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_Toc124325899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40</w:t>
        </w:r>
        <w:r w:rsidR="00AF3B6B" w:rsidRPr="00AE33C2">
          <w:rPr>
            <w:rFonts w:asciiTheme="minorEastAsia" w:eastAsiaTheme="minorEastAsia" w:hAnsiTheme="minorEastAsia" w:hint="eastAsia"/>
            <w:noProof/>
            <w:sz w:val="24"/>
          </w:rPr>
          <w:fldChar w:fldCharType="end"/>
        </w:r>
      </w:hyperlink>
    </w:p>
    <w:p w14:paraId="6DA2224B" w14:textId="767D89F2"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900" w:history="1">
        <w:r w:rsidR="00AF3B6B" w:rsidRPr="00AE33C2">
          <w:rPr>
            <w:rStyle w:val="af5"/>
            <w:rFonts w:asciiTheme="minorEastAsia" w:eastAsiaTheme="minorEastAsia" w:hAnsiTheme="minorEastAsia" w:hint="eastAsia"/>
            <w:noProof/>
            <w:sz w:val="24"/>
            <w:szCs w:val="32"/>
          </w:rPr>
          <w:t>十六、托管协议的变更、终止与基金财产的清算</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_Toc124325900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41</w:t>
        </w:r>
        <w:r w:rsidR="00AF3B6B" w:rsidRPr="00AE33C2">
          <w:rPr>
            <w:rFonts w:asciiTheme="minorEastAsia" w:eastAsiaTheme="minorEastAsia" w:hAnsiTheme="minorEastAsia" w:hint="eastAsia"/>
            <w:noProof/>
            <w:sz w:val="24"/>
          </w:rPr>
          <w:fldChar w:fldCharType="end"/>
        </w:r>
      </w:hyperlink>
    </w:p>
    <w:p w14:paraId="000A77C2" w14:textId="3882A421"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901" w:history="1">
        <w:r w:rsidR="00AF3B6B" w:rsidRPr="00AE33C2">
          <w:rPr>
            <w:rStyle w:val="af5"/>
            <w:rFonts w:asciiTheme="minorEastAsia" w:eastAsiaTheme="minorEastAsia" w:hAnsiTheme="minorEastAsia" w:hint="eastAsia"/>
            <w:noProof/>
            <w:sz w:val="24"/>
            <w:szCs w:val="32"/>
          </w:rPr>
          <w:t>十七、违约责任</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_Toc124325901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43</w:t>
        </w:r>
        <w:r w:rsidR="00AF3B6B" w:rsidRPr="00AE33C2">
          <w:rPr>
            <w:rFonts w:asciiTheme="minorEastAsia" w:eastAsiaTheme="minorEastAsia" w:hAnsiTheme="minorEastAsia" w:hint="eastAsia"/>
            <w:noProof/>
            <w:sz w:val="24"/>
          </w:rPr>
          <w:fldChar w:fldCharType="end"/>
        </w:r>
      </w:hyperlink>
    </w:p>
    <w:p w14:paraId="2CA0FF28" w14:textId="43942C5E"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902" w:history="1">
        <w:r w:rsidR="00AF3B6B" w:rsidRPr="00AE33C2">
          <w:rPr>
            <w:rStyle w:val="af5"/>
            <w:rFonts w:asciiTheme="minorEastAsia" w:eastAsiaTheme="minorEastAsia" w:hAnsiTheme="minorEastAsia" w:hint="eastAsia"/>
            <w:noProof/>
            <w:sz w:val="24"/>
            <w:szCs w:val="32"/>
          </w:rPr>
          <w:t>十八、争议解决方式</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_Toc124325902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43</w:t>
        </w:r>
        <w:r w:rsidR="00AF3B6B" w:rsidRPr="00AE33C2">
          <w:rPr>
            <w:rFonts w:asciiTheme="minorEastAsia" w:eastAsiaTheme="minorEastAsia" w:hAnsiTheme="minorEastAsia" w:hint="eastAsia"/>
            <w:noProof/>
            <w:sz w:val="24"/>
          </w:rPr>
          <w:fldChar w:fldCharType="end"/>
        </w:r>
      </w:hyperlink>
    </w:p>
    <w:p w14:paraId="3769656B" w14:textId="3AD7FFA0"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903" w:history="1">
        <w:r w:rsidR="00AF3B6B" w:rsidRPr="00AE33C2">
          <w:rPr>
            <w:rStyle w:val="af5"/>
            <w:rFonts w:asciiTheme="minorEastAsia" w:eastAsiaTheme="minorEastAsia" w:hAnsiTheme="minorEastAsia" w:hint="eastAsia"/>
            <w:noProof/>
            <w:sz w:val="24"/>
            <w:szCs w:val="32"/>
          </w:rPr>
          <w:t>十九、托管协议的效力</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_Toc124325903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44</w:t>
        </w:r>
        <w:r w:rsidR="00AF3B6B" w:rsidRPr="00AE33C2">
          <w:rPr>
            <w:rFonts w:asciiTheme="minorEastAsia" w:eastAsiaTheme="minorEastAsia" w:hAnsiTheme="minorEastAsia" w:hint="eastAsia"/>
            <w:noProof/>
            <w:sz w:val="24"/>
          </w:rPr>
          <w:fldChar w:fldCharType="end"/>
        </w:r>
      </w:hyperlink>
    </w:p>
    <w:p w14:paraId="616490B6" w14:textId="5BC447A2"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904" w:history="1">
        <w:r w:rsidR="00AF3B6B" w:rsidRPr="00AE33C2">
          <w:rPr>
            <w:rStyle w:val="af5"/>
            <w:rFonts w:asciiTheme="minorEastAsia" w:eastAsiaTheme="minorEastAsia" w:hAnsiTheme="minorEastAsia" w:hint="eastAsia"/>
            <w:noProof/>
            <w:sz w:val="24"/>
            <w:szCs w:val="32"/>
          </w:rPr>
          <w:t>二十、其他事项</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_Toc124325904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44</w:t>
        </w:r>
        <w:r w:rsidR="00AF3B6B" w:rsidRPr="00AE33C2">
          <w:rPr>
            <w:rFonts w:asciiTheme="minorEastAsia" w:eastAsiaTheme="minorEastAsia" w:hAnsiTheme="minorEastAsia" w:hint="eastAsia"/>
            <w:noProof/>
            <w:sz w:val="24"/>
          </w:rPr>
          <w:fldChar w:fldCharType="end"/>
        </w:r>
      </w:hyperlink>
    </w:p>
    <w:p w14:paraId="6A1083F6" w14:textId="6A2408E0" w:rsidR="009D164B" w:rsidRPr="00AE33C2" w:rsidRDefault="00317774" w:rsidP="00AE33C2">
      <w:pPr>
        <w:pStyle w:val="23"/>
        <w:tabs>
          <w:tab w:val="right" w:leader="dot" w:pos="8494"/>
        </w:tabs>
        <w:spacing w:before="240" w:after="240"/>
        <w:rPr>
          <w:rFonts w:asciiTheme="minorEastAsia" w:eastAsiaTheme="minorEastAsia" w:hAnsiTheme="minorEastAsia"/>
          <w:noProof/>
          <w:sz w:val="24"/>
        </w:rPr>
      </w:pPr>
      <w:hyperlink w:anchor="_Toc124325905" w:history="1">
        <w:r w:rsidR="00AF3B6B" w:rsidRPr="00AE33C2">
          <w:rPr>
            <w:rStyle w:val="af5"/>
            <w:rFonts w:asciiTheme="minorEastAsia" w:eastAsiaTheme="minorEastAsia" w:hAnsiTheme="minorEastAsia" w:hint="eastAsia"/>
            <w:noProof/>
            <w:sz w:val="24"/>
            <w:szCs w:val="32"/>
          </w:rPr>
          <w:t>二十一、托管协议的签订</w:t>
        </w:r>
        <w:r w:rsidR="00AF3B6B" w:rsidRPr="00AE33C2">
          <w:rPr>
            <w:rFonts w:asciiTheme="minorEastAsia" w:eastAsiaTheme="minorEastAsia" w:hAnsiTheme="minorEastAsia"/>
            <w:noProof/>
            <w:sz w:val="24"/>
          </w:rPr>
          <w:tab/>
        </w:r>
        <w:r w:rsidR="00AF3B6B" w:rsidRPr="00AE33C2">
          <w:rPr>
            <w:rFonts w:asciiTheme="minorEastAsia" w:eastAsiaTheme="minorEastAsia" w:hAnsiTheme="minorEastAsia" w:hint="eastAsia"/>
            <w:noProof/>
            <w:sz w:val="24"/>
          </w:rPr>
          <w:fldChar w:fldCharType="begin"/>
        </w:r>
        <w:r w:rsidR="00AF3B6B" w:rsidRPr="00AE33C2">
          <w:rPr>
            <w:rFonts w:asciiTheme="minorEastAsia" w:eastAsiaTheme="minorEastAsia" w:hAnsiTheme="minorEastAsia"/>
            <w:noProof/>
            <w:sz w:val="24"/>
          </w:rPr>
          <w:instrText xml:space="preserve"> PAGEREF _Toc124325905 \h </w:instrText>
        </w:r>
        <w:r w:rsidR="00AF3B6B" w:rsidRPr="00AE33C2">
          <w:rPr>
            <w:rFonts w:asciiTheme="minorEastAsia" w:eastAsiaTheme="minorEastAsia" w:hAnsiTheme="minorEastAsia" w:hint="eastAsia"/>
            <w:noProof/>
            <w:sz w:val="24"/>
          </w:rPr>
        </w:r>
        <w:r w:rsidR="00AF3B6B" w:rsidRPr="00AE33C2">
          <w:rPr>
            <w:rFonts w:asciiTheme="minorEastAsia" w:eastAsiaTheme="minorEastAsia" w:hAnsiTheme="minorEastAsia" w:hint="eastAsia"/>
            <w:noProof/>
            <w:sz w:val="24"/>
          </w:rPr>
          <w:fldChar w:fldCharType="separate"/>
        </w:r>
        <w:r>
          <w:rPr>
            <w:rFonts w:asciiTheme="minorEastAsia" w:eastAsiaTheme="minorEastAsia" w:hAnsiTheme="minorEastAsia"/>
            <w:noProof/>
            <w:sz w:val="24"/>
          </w:rPr>
          <w:t>45</w:t>
        </w:r>
        <w:r w:rsidR="00AF3B6B" w:rsidRPr="00AE33C2">
          <w:rPr>
            <w:rFonts w:asciiTheme="minorEastAsia" w:eastAsiaTheme="minorEastAsia" w:hAnsiTheme="minorEastAsia" w:hint="eastAsia"/>
            <w:noProof/>
            <w:sz w:val="24"/>
          </w:rPr>
          <w:fldChar w:fldCharType="end"/>
        </w:r>
      </w:hyperlink>
    </w:p>
    <w:p w14:paraId="16A35926" w14:textId="77777777" w:rsidR="009D164B" w:rsidRPr="008A5743" w:rsidRDefault="00AF3B6B">
      <w:pPr>
        <w:spacing w:before="240" w:after="240" w:line="276" w:lineRule="auto"/>
        <w:rPr>
          <w:rFonts w:asciiTheme="minorEastAsia" w:eastAsiaTheme="minorEastAsia" w:hAnsiTheme="minorEastAsia"/>
          <w:sz w:val="28"/>
        </w:rPr>
      </w:pPr>
      <w:r w:rsidRPr="00AE33C2">
        <w:rPr>
          <w:rFonts w:asciiTheme="minorEastAsia" w:eastAsiaTheme="minorEastAsia" w:hAnsiTheme="minorEastAsia" w:hint="eastAsia"/>
          <w:sz w:val="24"/>
        </w:rPr>
        <w:fldChar w:fldCharType="end"/>
      </w:r>
    </w:p>
    <w:p w14:paraId="139FC60C" w14:textId="77777777" w:rsidR="009D164B" w:rsidRPr="008A5743" w:rsidRDefault="00AF3B6B">
      <w:pPr>
        <w:widowControl/>
        <w:jc w:val="left"/>
        <w:rPr>
          <w:rFonts w:asciiTheme="minorEastAsia" w:eastAsiaTheme="minorEastAsia" w:hAnsiTheme="minorEastAsia"/>
          <w:sz w:val="28"/>
        </w:rPr>
      </w:pPr>
      <w:r w:rsidRPr="008A5743">
        <w:rPr>
          <w:rFonts w:asciiTheme="minorEastAsia" w:eastAsiaTheme="minorEastAsia" w:hAnsiTheme="minorEastAsia"/>
          <w:sz w:val="28"/>
        </w:rPr>
        <w:br w:type="page"/>
      </w:r>
    </w:p>
    <w:p w14:paraId="737D7985" w14:textId="6FFC8D64" w:rsidR="009D164B" w:rsidRPr="0040323D" w:rsidRDefault="00AF3B6B">
      <w:pPr>
        <w:widowControl/>
        <w:adjustRightInd w:val="0"/>
        <w:snapToGrid w:val="0"/>
        <w:spacing w:before="240" w:after="240" w:line="276" w:lineRule="auto"/>
        <w:ind w:firstLineChars="200" w:firstLine="480"/>
        <w:rPr>
          <w:rFonts w:asciiTheme="minorEastAsia" w:eastAsiaTheme="minorEastAsia" w:hAnsiTheme="minorEastAsia" w:cs="Arial"/>
          <w:kern w:val="0"/>
          <w:sz w:val="24"/>
        </w:rPr>
      </w:pPr>
      <w:r w:rsidRPr="0040323D">
        <w:rPr>
          <w:rFonts w:asciiTheme="minorEastAsia" w:eastAsiaTheme="minorEastAsia" w:hAnsiTheme="minorEastAsia" w:cs="Arial" w:hint="eastAsia"/>
          <w:kern w:val="0"/>
          <w:sz w:val="24"/>
        </w:rPr>
        <w:lastRenderedPageBreak/>
        <w:t>鉴于嘉实基金管理有限公司系一家依照中国法律合法成立并有效存续的有限责任公司，按照相关法律法规的规定具备担任基金管理人的资格和能力，拟募集发行</w:t>
      </w:r>
      <w:r w:rsidR="00A043A5">
        <w:rPr>
          <w:rFonts w:asciiTheme="minorEastAsia" w:eastAsiaTheme="minorEastAsia" w:hAnsiTheme="minorEastAsia" w:cs="Arial" w:hint="eastAsia"/>
          <w:kern w:val="0"/>
          <w:sz w:val="24"/>
        </w:rPr>
        <w:t>嘉实</w:t>
      </w:r>
      <w:r w:rsidR="00AE33C2">
        <w:rPr>
          <w:rFonts w:asciiTheme="minorEastAsia" w:eastAsiaTheme="minorEastAsia" w:hAnsiTheme="minorEastAsia" w:cs="Arial" w:hint="eastAsia"/>
          <w:kern w:val="0"/>
          <w:sz w:val="24"/>
        </w:rPr>
        <w:t>稳健增利6个月持有期</w:t>
      </w:r>
      <w:r w:rsidR="00A043A5">
        <w:rPr>
          <w:rFonts w:asciiTheme="minorEastAsia" w:eastAsiaTheme="minorEastAsia" w:hAnsiTheme="minorEastAsia" w:cs="Arial" w:hint="eastAsia"/>
          <w:kern w:val="0"/>
          <w:sz w:val="24"/>
        </w:rPr>
        <w:t>混合</w:t>
      </w:r>
      <w:r w:rsidRPr="0040323D">
        <w:rPr>
          <w:rFonts w:asciiTheme="minorEastAsia" w:eastAsiaTheme="minorEastAsia" w:hAnsiTheme="minorEastAsia" w:cs="Arial"/>
          <w:kern w:val="0"/>
          <w:sz w:val="24"/>
        </w:rPr>
        <w:t>型证券投资基金</w:t>
      </w:r>
      <w:r w:rsidRPr="0040323D">
        <w:rPr>
          <w:rFonts w:asciiTheme="minorEastAsia" w:eastAsiaTheme="minorEastAsia" w:hAnsiTheme="minorEastAsia" w:cs="Arial" w:hint="eastAsia"/>
          <w:kern w:val="0"/>
          <w:sz w:val="24"/>
        </w:rPr>
        <w:t>；</w:t>
      </w:r>
    </w:p>
    <w:p w14:paraId="2FABE83E" w14:textId="77777777" w:rsidR="009D164B" w:rsidRPr="0040323D" w:rsidRDefault="00AF3B6B">
      <w:pPr>
        <w:widowControl/>
        <w:adjustRightInd w:val="0"/>
        <w:snapToGrid w:val="0"/>
        <w:spacing w:before="240" w:after="240" w:line="276" w:lineRule="auto"/>
        <w:ind w:firstLineChars="200" w:firstLine="480"/>
        <w:rPr>
          <w:rFonts w:asciiTheme="minorEastAsia" w:eastAsiaTheme="minorEastAsia" w:hAnsiTheme="minorEastAsia" w:cs="Arial"/>
          <w:kern w:val="0"/>
          <w:sz w:val="24"/>
        </w:rPr>
      </w:pPr>
      <w:r w:rsidRPr="0040323D">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70F94EFD" w14:textId="0EE8455A" w:rsidR="009D164B" w:rsidRPr="0040323D" w:rsidRDefault="00AF3B6B">
      <w:pPr>
        <w:widowControl/>
        <w:adjustRightInd w:val="0"/>
        <w:snapToGrid w:val="0"/>
        <w:spacing w:before="240" w:after="240" w:line="276" w:lineRule="auto"/>
        <w:ind w:firstLineChars="200" w:firstLine="480"/>
        <w:rPr>
          <w:rFonts w:asciiTheme="minorEastAsia" w:eastAsiaTheme="minorEastAsia" w:hAnsiTheme="minorEastAsia" w:cs="Arial"/>
          <w:kern w:val="0"/>
          <w:sz w:val="24"/>
        </w:rPr>
      </w:pPr>
      <w:r w:rsidRPr="0040323D">
        <w:rPr>
          <w:rFonts w:asciiTheme="minorEastAsia" w:eastAsiaTheme="minorEastAsia" w:hAnsiTheme="minorEastAsia" w:cs="Arial" w:hint="eastAsia"/>
          <w:kern w:val="0"/>
          <w:sz w:val="24"/>
        </w:rPr>
        <w:t>鉴于嘉实基金管理有限公司拟担任</w:t>
      </w:r>
      <w:r w:rsidR="00A043A5">
        <w:rPr>
          <w:rFonts w:asciiTheme="minorEastAsia" w:eastAsiaTheme="minorEastAsia" w:hAnsiTheme="minorEastAsia" w:cs="Arial" w:hint="eastAsia"/>
          <w:kern w:val="0"/>
          <w:sz w:val="24"/>
        </w:rPr>
        <w:t>嘉实</w:t>
      </w:r>
      <w:r w:rsidR="00AE33C2">
        <w:rPr>
          <w:rFonts w:asciiTheme="minorEastAsia" w:eastAsiaTheme="minorEastAsia" w:hAnsiTheme="minorEastAsia" w:cs="Arial" w:hint="eastAsia"/>
          <w:kern w:val="0"/>
          <w:sz w:val="24"/>
        </w:rPr>
        <w:t>稳健增利6个月持有期</w:t>
      </w:r>
      <w:r w:rsidR="00A043A5">
        <w:rPr>
          <w:rFonts w:asciiTheme="minorEastAsia" w:eastAsiaTheme="minorEastAsia" w:hAnsiTheme="minorEastAsia" w:cs="Arial" w:hint="eastAsia"/>
          <w:kern w:val="0"/>
          <w:sz w:val="24"/>
        </w:rPr>
        <w:t>混合</w:t>
      </w:r>
      <w:r w:rsidRPr="0040323D">
        <w:rPr>
          <w:rFonts w:asciiTheme="minorEastAsia" w:eastAsiaTheme="minorEastAsia" w:hAnsiTheme="minorEastAsia" w:cs="Arial"/>
          <w:kern w:val="0"/>
          <w:sz w:val="24"/>
        </w:rPr>
        <w:t>型证券投资基金</w:t>
      </w:r>
      <w:r w:rsidRPr="0040323D">
        <w:rPr>
          <w:rFonts w:asciiTheme="minorEastAsia" w:eastAsiaTheme="minorEastAsia" w:hAnsiTheme="minorEastAsia" w:cs="Arial" w:hint="eastAsia"/>
          <w:kern w:val="0"/>
          <w:sz w:val="24"/>
        </w:rPr>
        <w:t>的基金管理人，中国建设银行股份有限公司拟担任</w:t>
      </w:r>
      <w:r w:rsidR="00A043A5">
        <w:rPr>
          <w:rFonts w:asciiTheme="minorEastAsia" w:eastAsiaTheme="minorEastAsia" w:hAnsiTheme="minorEastAsia" w:cs="Arial" w:hint="eastAsia"/>
          <w:kern w:val="0"/>
          <w:sz w:val="24"/>
        </w:rPr>
        <w:t>嘉实</w:t>
      </w:r>
      <w:r w:rsidR="00AE33C2">
        <w:rPr>
          <w:rFonts w:asciiTheme="minorEastAsia" w:eastAsiaTheme="minorEastAsia" w:hAnsiTheme="minorEastAsia" w:cs="Arial" w:hint="eastAsia"/>
          <w:kern w:val="0"/>
          <w:sz w:val="24"/>
        </w:rPr>
        <w:t>稳健增利6个月持有期</w:t>
      </w:r>
      <w:r w:rsidR="00A043A5">
        <w:rPr>
          <w:rFonts w:asciiTheme="minorEastAsia" w:eastAsiaTheme="minorEastAsia" w:hAnsiTheme="minorEastAsia" w:cs="Arial" w:hint="eastAsia"/>
          <w:kern w:val="0"/>
          <w:sz w:val="24"/>
        </w:rPr>
        <w:t>混合</w:t>
      </w:r>
      <w:r w:rsidRPr="0040323D">
        <w:rPr>
          <w:rFonts w:asciiTheme="minorEastAsia" w:eastAsiaTheme="minorEastAsia" w:hAnsiTheme="minorEastAsia" w:cs="Arial"/>
          <w:kern w:val="0"/>
          <w:sz w:val="24"/>
        </w:rPr>
        <w:t>型证券投资基金</w:t>
      </w:r>
      <w:r w:rsidRPr="0040323D">
        <w:rPr>
          <w:rFonts w:asciiTheme="minorEastAsia" w:eastAsiaTheme="minorEastAsia" w:hAnsiTheme="minorEastAsia" w:cs="Arial" w:hint="eastAsia"/>
          <w:kern w:val="0"/>
          <w:sz w:val="24"/>
        </w:rPr>
        <w:t>的基金托管人；</w:t>
      </w:r>
    </w:p>
    <w:p w14:paraId="27583028" w14:textId="03BAC77E" w:rsidR="009D164B" w:rsidRPr="0040323D" w:rsidRDefault="00AF3B6B">
      <w:pPr>
        <w:widowControl/>
        <w:adjustRightInd w:val="0"/>
        <w:snapToGrid w:val="0"/>
        <w:spacing w:before="240" w:after="240" w:line="276" w:lineRule="auto"/>
        <w:ind w:firstLineChars="200" w:firstLine="480"/>
        <w:rPr>
          <w:rFonts w:asciiTheme="minorEastAsia" w:eastAsiaTheme="minorEastAsia" w:hAnsiTheme="minorEastAsia" w:cs="Arial"/>
          <w:kern w:val="0"/>
          <w:sz w:val="24"/>
        </w:rPr>
      </w:pPr>
      <w:r w:rsidRPr="0040323D">
        <w:rPr>
          <w:rFonts w:asciiTheme="minorEastAsia" w:eastAsiaTheme="minorEastAsia" w:hAnsiTheme="minorEastAsia" w:cs="Arial" w:hint="eastAsia"/>
          <w:kern w:val="0"/>
          <w:sz w:val="24"/>
        </w:rPr>
        <w:t>为明确</w:t>
      </w:r>
      <w:r w:rsidR="00A043A5">
        <w:rPr>
          <w:rFonts w:asciiTheme="minorEastAsia" w:eastAsiaTheme="minorEastAsia" w:hAnsiTheme="minorEastAsia" w:cs="Arial" w:hint="eastAsia"/>
          <w:kern w:val="0"/>
          <w:sz w:val="24"/>
        </w:rPr>
        <w:t>嘉实</w:t>
      </w:r>
      <w:r w:rsidR="00AE33C2">
        <w:rPr>
          <w:rFonts w:asciiTheme="minorEastAsia" w:eastAsiaTheme="minorEastAsia" w:hAnsiTheme="minorEastAsia" w:cs="Arial" w:hint="eastAsia"/>
          <w:kern w:val="0"/>
          <w:sz w:val="24"/>
        </w:rPr>
        <w:t>稳健增利6个月持有期</w:t>
      </w:r>
      <w:r w:rsidR="00A043A5">
        <w:rPr>
          <w:rFonts w:asciiTheme="minorEastAsia" w:eastAsiaTheme="minorEastAsia" w:hAnsiTheme="minorEastAsia" w:cs="Arial" w:hint="eastAsia"/>
          <w:kern w:val="0"/>
          <w:sz w:val="24"/>
        </w:rPr>
        <w:t>混合</w:t>
      </w:r>
      <w:r w:rsidRPr="0040323D">
        <w:rPr>
          <w:rFonts w:asciiTheme="minorEastAsia" w:eastAsiaTheme="minorEastAsia" w:hAnsiTheme="minorEastAsia" w:cs="Arial"/>
          <w:kern w:val="0"/>
          <w:sz w:val="24"/>
        </w:rPr>
        <w:t>型证券投资基金</w:t>
      </w:r>
      <w:r w:rsidRPr="0040323D">
        <w:rPr>
          <w:rFonts w:asciiTheme="minorEastAsia" w:eastAsiaTheme="minorEastAsia" w:hAnsiTheme="minorEastAsia" w:cs="Arial" w:hint="eastAsia"/>
          <w:kern w:val="0"/>
          <w:sz w:val="24"/>
        </w:rPr>
        <w:t>的基金管理人和基金托管人之间的权利义务关系，特制订本托管协议；</w:t>
      </w:r>
    </w:p>
    <w:p w14:paraId="7D3C25E6" w14:textId="71D44232" w:rsidR="009D164B" w:rsidRPr="0040323D" w:rsidRDefault="00AF3B6B">
      <w:pPr>
        <w:widowControl/>
        <w:adjustRightInd w:val="0"/>
        <w:snapToGrid w:val="0"/>
        <w:spacing w:before="240" w:after="240" w:line="276" w:lineRule="auto"/>
        <w:ind w:firstLineChars="200" w:firstLine="480"/>
        <w:rPr>
          <w:rFonts w:asciiTheme="minorEastAsia" w:eastAsiaTheme="minorEastAsia" w:hAnsiTheme="minorEastAsia" w:cs="Arial"/>
          <w:kern w:val="0"/>
          <w:sz w:val="24"/>
          <w:lang w:val="en-GB"/>
        </w:rPr>
      </w:pPr>
      <w:r w:rsidRPr="0040323D">
        <w:rPr>
          <w:rFonts w:asciiTheme="minorEastAsia" w:eastAsiaTheme="minorEastAsia" w:hAnsiTheme="minorEastAsia" w:cs="Arial" w:hint="eastAsia"/>
          <w:kern w:val="0"/>
          <w:sz w:val="24"/>
          <w:lang w:val="en-GB"/>
        </w:rPr>
        <w:t>除非另有约定，《</w:t>
      </w:r>
      <w:r w:rsidR="00A043A5">
        <w:rPr>
          <w:rFonts w:asciiTheme="minorEastAsia" w:eastAsiaTheme="minorEastAsia" w:hAnsiTheme="minorEastAsia" w:cs="Arial" w:hint="eastAsia"/>
          <w:kern w:val="0"/>
          <w:sz w:val="24"/>
        </w:rPr>
        <w:t>嘉实</w:t>
      </w:r>
      <w:r w:rsidR="00AE33C2">
        <w:rPr>
          <w:rFonts w:asciiTheme="minorEastAsia" w:eastAsiaTheme="minorEastAsia" w:hAnsiTheme="minorEastAsia" w:cs="Arial" w:hint="eastAsia"/>
          <w:kern w:val="0"/>
          <w:sz w:val="24"/>
        </w:rPr>
        <w:t>稳健增利6个月持有期</w:t>
      </w:r>
      <w:r w:rsidR="00A043A5">
        <w:rPr>
          <w:rFonts w:asciiTheme="minorEastAsia" w:eastAsiaTheme="minorEastAsia" w:hAnsiTheme="minorEastAsia" w:cs="Arial" w:hint="eastAsia"/>
          <w:kern w:val="0"/>
          <w:sz w:val="24"/>
        </w:rPr>
        <w:t>混合</w:t>
      </w:r>
      <w:r w:rsidRPr="0040323D">
        <w:rPr>
          <w:rFonts w:asciiTheme="minorEastAsia" w:eastAsiaTheme="minorEastAsia" w:hAnsiTheme="minorEastAsia" w:cs="Arial"/>
          <w:kern w:val="0"/>
          <w:sz w:val="24"/>
        </w:rPr>
        <w:t>型证券投资基金</w:t>
      </w:r>
      <w:r w:rsidRPr="0040323D">
        <w:rPr>
          <w:rFonts w:asciiTheme="minorEastAsia" w:eastAsiaTheme="minorEastAsia" w:hAnsiTheme="minorEastAsia" w:cs="Arial" w:hint="eastAsia"/>
          <w:kern w:val="0"/>
          <w:sz w:val="24"/>
          <w:lang w:val="en-GB"/>
        </w:rPr>
        <w:t>基金合同》</w:t>
      </w:r>
      <w:r w:rsidRPr="0040323D">
        <w:rPr>
          <w:rFonts w:asciiTheme="minorEastAsia" w:eastAsiaTheme="minorEastAsia" w:hAnsiTheme="minorEastAsia" w:cs="Arial"/>
          <w:kern w:val="0"/>
          <w:sz w:val="24"/>
          <w:lang w:val="en-GB"/>
        </w:rPr>
        <w:t>(以下简称“《基金合同》”)中定义的术语在用于本托管协议时应具有相同的含义；若有抵触应以《基金合同》为准，并依其</w:t>
      </w:r>
      <w:r w:rsidRPr="0040323D">
        <w:rPr>
          <w:rFonts w:asciiTheme="minorEastAsia" w:eastAsiaTheme="minorEastAsia" w:hAnsiTheme="minorEastAsia" w:cs="Arial" w:hint="eastAsia"/>
          <w:kern w:val="0"/>
          <w:sz w:val="24"/>
        </w:rPr>
        <w:t>条款</w:t>
      </w:r>
      <w:r w:rsidRPr="0040323D">
        <w:rPr>
          <w:rFonts w:asciiTheme="minorEastAsia" w:eastAsiaTheme="minorEastAsia" w:hAnsiTheme="minorEastAsia" w:cs="Arial" w:hint="eastAsia"/>
          <w:kern w:val="0"/>
          <w:sz w:val="24"/>
          <w:lang w:val="en-GB"/>
        </w:rPr>
        <w:t>解释。</w:t>
      </w:r>
    </w:p>
    <w:p w14:paraId="0786F1AD" w14:textId="77777777" w:rsidR="009D164B" w:rsidRPr="0040323D" w:rsidRDefault="00AF3B6B">
      <w:pPr>
        <w:widowControl/>
        <w:adjustRightInd w:val="0"/>
        <w:snapToGrid w:val="0"/>
        <w:spacing w:before="240" w:after="240" w:line="276" w:lineRule="auto"/>
        <w:ind w:firstLineChars="200" w:firstLine="480"/>
        <w:rPr>
          <w:rFonts w:asciiTheme="minorEastAsia" w:eastAsiaTheme="minorEastAsia" w:hAnsiTheme="minorEastAsia" w:cs="Arial"/>
          <w:kern w:val="0"/>
          <w:sz w:val="24"/>
        </w:rPr>
      </w:pPr>
      <w:r w:rsidRPr="0040323D">
        <w:rPr>
          <w:rFonts w:asciiTheme="minorEastAsia" w:eastAsiaTheme="minorEastAsia" w:hAnsiTheme="minorEastAsia" w:cs="Arial" w:hint="eastAsia"/>
          <w:kern w:val="0"/>
          <w:sz w:val="24"/>
          <w:lang w:val="en-GB"/>
        </w:rPr>
        <w:t>若本基金实施侧袋机制的，侧袋机制实施期间的相关安排见基金合同和招募说明书的规定。</w:t>
      </w:r>
    </w:p>
    <w:p w14:paraId="5EF23CE8" w14:textId="77777777" w:rsidR="009D164B" w:rsidRPr="0040323D" w:rsidRDefault="009D164B">
      <w:pPr>
        <w:spacing w:before="240" w:after="240" w:line="276" w:lineRule="auto"/>
        <w:rPr>
          <w:rFonts w:asciiTheme="minorEastAsia" w:eastAsiaTheme="minorEastAsia" w:hAnsiTheme="minorEastAsia"/>
          <w:sz w:val="24"/>
          <w:lang w:val="en-GB"/>
        </w:rPr>
      </w:pPr>
    </w:p>
    <w:p w14:paraId="0E177FEE" w14:textId="77777777" w:rsidR="009D164B" w:rsidRPr="0040323D" w:rsidRDefault="00AF3B6B">
      <w:pPr>
        <w:widowControl/>
        <w:jc w:val="left"/>
        <w:rPr>
          <w:rFonts w:asciiTheme="minorEastAsia" w:eastAsiaTheme="minorEastAsia" w:hAnsiTheme="minorEastAsia"/>
          <w:b/>
          <w:sz w:val="32"/>
          <w:szCs w:val="20"/>
        </w:rPr>
      </w:pPr>
      <w:bookmarkStart w:id="6" w:name="_Toc124325885"/>
      <w:r w:rsidRPr="0040323D">
        <w:rPr>
          <w:rFonts w:asciiTheme="minorEastAsia" w:eastAsiaTheme="minorEastAsia" w:hAnsiTheme="minorEastAsia"/>
        </w:rPr>
        <w:br w:type="page"/>
      </w:r>
    </w:p>
    <w:p w14:paraId="3693734D" w14:textId="77777777" w:rsidR="009D164B" w:rsidRPr="0040323D" w:rsidRDefault="00AF3B6B">
      <w:pPr>
        <w:pStyle w:val="2"/>
        <w:spacing w:before="240" w:after="240" w:line="276" w:lineRule="auto"/>
        <w:jc w:val="center"/>
        <w:rPr>
          <w:rFonts w:asciiTheme="minorEastAsia" w:eastAsiaTheme="minorEastAsia" w:hAnsiTheme="minorEastAsia"/>
        </w:rPr>
      </w:pPr>
      <w:r w:rsidRPr="0040323D">
        <w:rPr>
          <w:rFonts w:asciiTheme="minorEastAsia" w:eastAsiaTheme="minorEastAsia" w:hAnsiTheme="minorEastAsia" w:hint="eastAsia"/>
        </w:rPr>
        <w:lastRenderedPageBreak/>
        <w:t>一、基金托管协议当事人</w:t>
      </w:r>
      <w:bookmarkEnd w:id="6"/>
    </w:p>
    <w:p w14:paraId="51BB206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（一）基金管理人</w:t>
      </w:r>
    </w:p>
    <w:p w14:paraId="12D6B13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名称：嘉实基金管理有限公司</w:t>
      </w:r>
    </w:p>
    <w:p w14:paraId="51593B62" w14:textId="32B4F4E9"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注册地址：</w:t>
      </w:r>
      <w:r w:rsidR="00151869" w:rsidRPr="00134542">
        <w:rPr>
          <w:rFonts w:hint="eastAsia"/>
          <w:bCs/>
          <w:color w:val="000000"/>
          <w:sz w:val="24"/>
        </w:rPr>
        <w:t>中国（上海）自由贸易试验区陆家嘴环路</w:t>
      </w:r>
      <w:r w:rsidR="00151869" w:rsidRPr="00134542">
        <w:rPr>
          <w:rFonts w:hint="eastAsia"/>
          <w:bCs/>
          <w:color w:val="000000"/>
          <w:sz w:val="24"/>
        </w:rPr>
        <w:t>1318</w:t>
      </w:r>
      <w:r w:rsidR="00151869" w:rsidRPr="00134542">
        <w:rPr>
          <w:rFonts w:hint="eastAsia"/>
          <w:bCs/>
          <w:color w:val="000000"/>
          <w:sz w:val="24"/>
        </w:rPr>
        <w:t>号</w:t>
      </w:r>
      <w:r w:rsidR="00151869" w:rsidRPr="00134542">
        <w:rPr>
          <w:rFonts w:hint="eastAsia"/>
          <w:bCs/>
          <w:color w:val="000000"/>
          <w:sz w:val="24"/>
        </w:rPr>
        <w:t>1806A</w:t>
      </w:r>
      <w:r w:rsidR="00151869" w:rsidRPr="00134542">
        <w:rPr>
          <w:rFonts w:hint="eastAsia"/>
          <w:bCs/>
          <w:color w:val="000000"/>
          <w:sz w:val="24"/>
        </w:rPr>
        <w:t>单元</w:t>
      </w:r>
    </w:p>
    <w:p w14:paraId="6748057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办公地址：北京市朝阳区建国门外大街</w:t>
      </w:r>
      <w:r w:rsidRPr="0040323D">
        <w:rPr>
          <w:rFonts w:asciiTheme="minorEastAsia" w:eastAsiaTheme="minorEastAsia" w:hAnsiTheme="minorEastAsia" w:cs="Arial"/>
          <w:sz w:val="24"/>
        </w:rPr>
        <w:t>21号北京国际俱乐部C座写字楼12A层</w:t>
      </w:r>
    </w:p>
    <w:p w14:paraId="5107023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邮政编码：</w:t>
      </w:r>
      <w:r w:rsidRPr="0040323D">
        <w:rPr>
          <w:rFonts w:asciiTheme="minorEastAsia" w:eastAsiaTheme="minorEastAsia" w:hAnsiTheme="minorEastAsia" w:cs="Arial"/>
          <w:sz w:val="24"/>
        </w:rPr>
        <w:t>100020</w:t>
      </w:r>
    </w:p>
    <w:p w14:paraId="14ED039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法定代表人：经雷</w:t>
      </w:r>
    </w:p>
    <w:p w14:paraId="63AEE11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成立日期：</w:t>
      </w:r>
      <w:r w:rsidRPr="0040323D">
        <w:rPr>
          <w:rStyle w:val="read"/>
          <w:rFonts w:asciiTheme="minorEastAsia" w:eastAsiaTheme="minorEastAsia" w:hAnsiTheme="minorEastAsia"/>
        </w:rPr>
        <w:t xml:space="preserve">1999 </w:t>
      </w:r>
      <w:r w:rsidRPr="0040323D">
        <w:rPr>
          <w:rStyle w:val="read"/>
          <w:rFonts w:asciiTheme="minorEastAsia" w:eastAsiaTheme="minorEastAsia" w:hAnsiTheme="minorEastAsia" w:hint="eastAsia"/>
        </w:rPr>
        <w:t>年3</w:t>
      </w:r>
      <w:r w:rsidRPr="0040323D">
        <w:rPr>
          <w:rStyle w:val="read"/>
          <w:rFonts w:asciiTheme="minorEastAsia" w:eastAsiaTheme="minorEastAsia" w:hAnsiTheme="minorEastAsia"/>
        </w:rPr>
        <w:t xml:space="preserve"> </w:t>
      </w:r>
      <w:r w:rsidRPr="0040323D">
        <w:rPr>
          <w:rStyle w:val="read"/>
          <w:rFonts w:asciiTheme="minorEastAsia" w:eastAsiaTheme="minorEastAsia" w:hAnsiTheme="minorEastAsia" w:hint="eastAsia"/>
        </w:rPr>
        <w:t>月25</w:t>
      </w:r>
      <w:r w:rsidRPr="0040323D">
        <w:rPr>
          <w:rStyle w:val="read"/>
          <w:rFonts w:asciiTheme="minorEastAsia" w:eastAsiaTheme="minorEastAsia" w:hAnsiTheme="minorEastAsia"/>
        </w:rPr>
        <w:t xml:space="preserve"> </w:t>
      </w:r>
      <w:r w:rsidRPr="0040323D">
        <w:rPr>
          <w:rStyle w:val="read"/>
          <w:rFonts w:asciiTheme="minorEastAsia" w:eastAsiaTheme="minorEastAsia" w:hAnsiTheme="minorEastAsia" w:hint="eastAsia"/>
        </w:rPr>
        <w:t>日</w:t>
      </w:r>
    </w:p>
    <w:p w14:paraId="46FDFC2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批准设立机关及批准设立文号：中国证监会证监基字</w:t>
      </w:r>
      <w:r w:rsidRPr="0040323D">
        <w:rPr>
          <w:rStyle w:val="read"/>
          <w:rFonts w:asciiTheme="minorEastAsia" w:eastAsiaTheme="minorEastAsia" w:hAnsiTheme="minorEastAsia"/>
        </w:rPr>
        <w:t>[1999]5</w:t>
      </w:r>
      <w:r w:rsidRPr="0040323D">
        <w:rPr>
          <w:rFonts w:asciiTheme="minorEastAsia" w:eastAsiaTheme="minorEastAsia" w:hAnsiTheme="minorEastAsia" w:cs="Arial" w:hint="eastAsia"/>
          <w:sz w:val="24"/>
        </w:rPr>
        <w:t>号</w:t>
      </w:r>
    </w:p>
    <w:p w14:paraId="18BF6B5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组织形式：有限责任公司（中外合资）</w:t>
      </w:r>
    </w:p>
    <w:p w14:paraId="0285B629"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注册资本：</w:t>
      </w:r>
      <w:r w:rsidRPr="0040323D">
        <w:rPr>
          <w:rFonts w:asciiTheme="minorEastAsia" w:eastAsiaTheme="minorEastAsia" w:hAnsiTheme="minorEastAsia" w:cs="Arial"/>
          <w:sz w:val="24"/>
        </w:rPr>
        <w:t>1.5亿元人民币</w:t>
      </w:r>
    </w:p>
    <w:p w14:paraId="5EA9F64B"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存续期间：持续经营</w:t>
      </w:r>
    </w:p>
    <w:p w14:paraId="395A8C5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经营范围：基金募集、基金销售、资产管理及中国证监会许可的其他业务</w:t>
      </w:r>
    </w:p>
    <w:p w14:paraId="61C5CD9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（二）基金托管人</w:t>
      </w:r>
    </w:p>
    <w:p w14:paraId="7C6C6B8C"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名称：中国建设银行股份有限公司</w:t>
      </w:r>
      <w:r w:rsidRPr="0040323D">
        <w:rPr>
          <w:rFonts w:asciiTheme="minorEastAsia" w:eastAsiaTheme="minorEastAsia" w:hAnsiTheme="minorEastAsia" w:cs="Arial"/>
          <w:sz w:val="24"/>
        </w:rPr>
        <w:t>(简称：中国建设银行)</w:t>
      </w:r>
    </w:p>
    <w:p w14:paraId="6666D052"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住所：北京市西城区金融大街</w:t>
      </w:r>
      <w:r w:rsidRPr="0040323D">
        <w:rPr>
          <w:rFonts w:asciiTheme="minorEastAsia" w:eastAsiaTheme="minorEastAsia" w:hAnsiTheme="minorEastAsia" w:cs="Arial"/>
          <w:sz w:val="24"/>
        </w:rPr>
        <w:t>25号</w:t>
      </w:r>
    </w:p>
    <w:p w14:paraId="1152BA6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办公地址：北京市西城区闹市口大街</w:t>
      </w:r>
      <w:r w:rsidRPr="0040323D">
        <w:rPr>
          <w:rFonts w:asciiTheme="minorEastAsia" w:eastAsiaTheme="minorEastAsia" w:hAnsiTheme="minorEastAsia" w:cs="Arial"/>
          <w:sz w:val="24"/>
        </w:rPr>
        <w:t>1号院1号楼</w:t>
      </w:r>
    </w:p>
    <w:p w14:paraId="2DC4AD8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邮政编码：</w:t>
      </w:r>
      <w:r w:rsidRPr="0040323D">
        <w:rPr>
          <w:rFonts w:asciiTheme="minorEastAsia" w:eastAsiaTheme="minorEastAsia" w:hAnsiTheme="minorEastAsia" w:cs="Arial"/>
          <w:sz w:val="24"/>
        </w:rPr>
        <w:t>100033</w:t>
      </w:r>
    </w:p>
    <w:p w14:paraId="6D41AD7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法定代表人：田国立</w:t>
      </w:r>
    </w:p>
    <w:p w14:paraId="0BA7B7F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成立日期：</w:t>
      </w:r>
      <w:r w:rsidRPr="0040323D">
        <w:rPr>
          <w:rFonts w:asciiTheme="minorEastAsia" w:eastAsiaTheme="minorEastAsia" w:hAnsiTheme="minorEastAsia" w:cs="Arial"/>
          <w:sz w:val="24"/>
        </w:rPr>
        <w:t>2004年09月17日</w:t>
      </w:r>
    </w:p>
    <w:p w14:paraId="3C4A738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基金托管业务批准文号：中国证监会证监基字</w:t>
      </w:r>
      <w:r w:rsidRPr="0040323D">
        <w:rPr>
          <w:rFonts w:asciiTheme="minorEastAsia" w:eastAsiaTheme="minorEastAsia" w:hAnsiTheme="minorEastAsia" w:cs="Arial"/>
          <w:sz w:val="24"/>
        </w:rPr>
        <w:t>[1998</w:t>
      </w:r>
      <w:bookmarkStart w:id="7" w:name="OLE_LINK3"/>
      <w:r w:rsidRPr="0040323D">
        <w:rPr>
          <w:rFonts w:asciiTheme="minorEastAsia" w:eastAsiaTheme="minorEastAsia" w:hAnsiTheme="minorEastAsia" w:cs="Arial"/>
          <w:sz w:val="24"/>
        </w:rPr>
        <w:t>]</w:t>
      </w:r>
      <w:bookmarkEnd w:id="7"/>
      <w:r w:rsidRPr="0040323D">
        <w:rPr>
          <w:rFonts w:asciiTheme="minorEastAsia" w:eastAsiaTheme="minorEastAsia" w:hAnsiTheme="minorEastAsia" w:cs="Arial"/>
          <w:sz w:val="24"/>
        </w:rPr>
        <w:t>12号</w:t>
      </w:r>
    </w:p>
    <w:p w14:paraId="0F3DC26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组织形式：股份有限公司</w:t>
      </w:r>
    </w:p>
    <w:p w14:paraId="4F56C4A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lastRenderedPageBreak/>
        <w:t>注册资本：人民币</w:t>
      </w:r>
      <w:r w:rsidRPr="0040323D">
        <w:rPr>
          <w:rFonts w:asciiTheme="minorEastAsia" w:eastAsiaTheme="minorEastAsia" w:hAnsiTheme="minorEastAsia" w:hint="eastAsia"/>
          <w:sz w:val="24"/>
        </w:rPr>
        <w:t>贰仟伍佰亿壹仟零玖拾柒万柒仟肆佰捌拾陆元整</w:t>
      </w:r>
    </w:p>
    <w:p w14:paraId="4EC30419"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存续期间：持续经营</w:t>
      </w:r>
    </w:p>
    <w:p w14:paraId="2A810D39" w14:textId="77777777" w:rsidR="009D164B" w:rsidRPr="0040323D" w:rsidRDefault="00AF3B6B">
      <w:pPr>
        <w:tabs>
          <w:tab w:val="left" w:pos="540"/>
        </w:tabs>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3E50AE4" w14:textId="77777777" w:rsidR="009D164B" w:rsidRPr="0040323D" w:rsidRDefault="009D164B">
      <w:pPr>
        <w:spacing w:before="240" w:after="240" w:line="276" w:lineRule="auto"/>
        <w:rPr>
          <w:rFonts w:asciiTheme="minorEastAsia" w:eastAsiaTheme="minorEastAsia" w:hAnsiTheme="minorEastAsia"/>
          <w:sz w:val="24"/>
        </w:rPr>
      </w:pPr>
    </w:p>
    <w:p w14:paraId="74DF95BB"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8" w:name="_Toc124325886"/>
      <w:r w:rsidRPr="0040323D">
        <w:rPr>
          <w:rFonts w:asciiTheme="minorEastAsia" w:eastAsiaTheme="minorEastAsia" w:hAnsiTheme="minorEastAsia" w:hint="eastAsia"/>
          <w:sz w:val="30"/>
        </w:rPr>
        <w:t>二、基金托管协议的依据、目的和原则</w:t>
      </w:r>
      <w:bookmarkEnd w:id="8"/>
    </w:p>
    <w:p w14:paraId="40801D0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sz w:val="24"/>
          <w:szCs w:val="30"/>
        </w:rPr>
      </w:pPr>
      <w:r w:rsidRPr="0040323D">
        <w:rPr>
          <w:rFonts w:asciiTheme="minorEastAsia" w:eastAsiaTheme="minorEastAsia" w:hAnsiTheme="minorEastAsia" w:cs="Arial" w:hint="eastAsia"/>
          <w:sz w:val="24"/>
        </w:rPr>
        <w:t>（一）订立托管协议的依据</w:t>
      </w:r>
    </w:p>
    <w:p w14:paraId="0DE62CD9" w14:textId="231B23C8"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本协议依据《中华人民共和国证券投资基金法》</w:t>
      </w:r>
      <w:r w:rsidRPr="0040323D">
        <w:rPr>
          <w:rFonts w:asciiTheme="minorEastAsia" w:eastAsiaTheme="minorEastAsia" w:hAnsiTheme="minorEastAsia" w:cs="Arial"/>
          <w:sz w:val="24"/>
        </w:rPr>
        <w:t>(以下简称“《基金法》”)</w:t>
      </w:r>
      <w:r w:rsidRPr="0040323D">
        <w:rPr>
          <w:rFonts w:asciiTheme="minorEastAsia" w:eastAsiaTheme="minorEastAsia" w:hAnsiTheme="minorEastAsia"/>
        </w:rPr>
        <w:t xml:space="preserve"> </w:t>
      </w:r>
      <w:r w:rsidRPr="0040323D">
        <w:rPr>
          <w:rFonts w:asciiTheme="minorEastAsia" w:eastAsiaTheme="minorEastAsia" w:hAnsiTheme="minorEastAsia" w:cs="Arial" w:hint="eastAsia"/>
          <w:sz w:val="24"/>
        </w:rPr>
        <w:t>、《公开募集证券投资基金运作管理办法》</w:t>
      </w:r>
      <w:r w:rsidRPr="0040323D">
        <w:rPr>
          <w:rFonts w:asciiTheme="minorEastAsia" w:eastAsiaTheme="minorEastAsia" w:hAnsiTheme="minorEastAsia" w:cs="Arial"/>
          <w:sz w:val="24"/>
        </w:rPr>
        <w:t>(以下简称“《运作办法》”)、《公开募集证券投资基金信息披露管理办法》(以下简称“《信息披露办法》”)、《公开募集开放式证券投资基金流动性风险管理规定》（以下简称“《流动性风险管理规定》”）</w:t>
      </w:r>
      <w:r w:rsidRPr="0040323D">
        <w:rPr>
          <w:rFonts w:asciiTheme="minorEastAsia" w:eastAsiaTheme="minorEastAsia" w:hAnsiTheme="minorEastAsia" w:cs="Arial" w:hint="eastAsia"/>
          <w:sz w:val="24"/>
        </w:rPr>
        <w:t>等有关法律法规、《基金合同》及其他有关规定制订。</w:t>
      </w:r>
    </w:p>
    <w:p w14:paraId="5253471D"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（二）订立托管协议的目的</w:t>
      </w:r>
    </w:p>
    <w:p w14:paraId="5FDC0BE9"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sz w:val="24"/>
          <w:szCs w:val="30"/>
        </w:rPr>
      </w:pPr>
      <w:r w:rsidRPr="0040323D">
        <w:rPr>
          <w:rFonts w:asciiTheme="minorEastAsia" w:eastAsiaTheme="minorEastAsia" w:hAnsiTheme="minorEastAsia" w:cs="Arial" w:hint="eastAsia"/>
          <w:sz w:val="24"/>
        </w:rPr>
        <w:t>订立本协议的目的是明确基金管理人与基金托管人之间在基金财产的保管、投资运作、净值计算、收益分配、</w:t>
      </w:r>
      <w:r w:rsidRPr="0040323D">
        <w:rPr>
          <w:rFonts w:asciiTheme="minorEastAsia" w:eastAsiaTheme="minorEastAsia" w:hAnsiTheme="minorEastAsia" w:cs="Arial" w:hint="eastAsia"/>
          <w:bCs/>
          <w:sz w:val="24"/>
        </w:rPr>
        <w:t>基金份额持有人名册的建立和保管</w:t>
      </w:r>
      <w:r w:rsidRPr="0040323D">
        <w:rPr>
          <w:rFonts w:asciiTheme="minorEastAsia" w:eastAsiaTheme="minorEastAsia" w:hAnsiTheme="minorEastAsia" w:cs="Arial"/>
          <w:bCs/>
          <w:sz w:val="24"/>
        </w:rPr>
        <w:t>、</w:t>
      </w:r>
      <w:r w:rsidRPr="0040323D">
        <w:rPr>
          <w:rFonts w:asciiTheme="minorEastAsia" w:eastAsiaTheme="minorEastAsia" w:hAnsiTheme="minorEastAsia" w:cs="Arial" w:hint="eastAsia"/>
          <w:sz w:val="24"/>
        </w:rPr>
        <w:t>信息披露及相互监督等相关事宜中的权利义务及职责，确保基金财产的安全，保护基金份额持有人的合法权益。</w:t>
      </w:r>
    </w:p>
    <w:p w14:paraId="17C1C47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（三）订立托管协议的原则</w:t>
      </w:r>
    </w:p>
    <w:p w14:paraId="7F9A9C09"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基金管理人和基金托管人本着平等自愿、诚实信用、充分保护基金份额持有人合法权益的原则，经协商一致，签订本协议。</w:t>
      </w:r>
    </w:p>
    <w:p w14:paraId="6960F5CF" w14:textId="77777777" w:rsidR="009D164B" w:rsidRPr="0040323D" w:rsidRDefault="009D164B">
      <w:pPr>
        <w:spacing w:before="240" w:after="240" w:line="276" w:lineRule="auto"/>
        <w:rPr>
          <w:rFonts w:asciiTheme="minorEastAsia" w:eastAsiaTheme="minorEastAsia" w:hAnsiTheme="minorEastAsia"/>
          <w:sz w:val="24"/>
        </w:rPr>
      </w:pPr>
    </w:p>
    <w:p w14:paraId="47C2FFCF" w14:textId="77777777" w:rsidR="009D164B" w:rsidRPr="0040323D" w:rsidRDefault="00AF3B6B">
      <w:pPr>
        <w:pStyle w:val="2"/>
        <w:spacing w:before="240" w:after="240" w:line="276" w:lineRule="auto"/>
        <w:jc w:val="center"/>
        <w:rPr>
          <w:rFonts w:asciiTheme="minorEastAsia" w:eastAsiaTheme="minorEastAsia" w:hAnsiTheme="minorEastAsia"/>
          <w:sz w:val="30"/>
          <w:szCs w:val="24"/>
        </w:rPr>
      </w:pPr>
      <w:bookmarkStart w:id="9" w:name="_Toc124325887"/>
      <w:r w:rsidRPr="0040323D">
        <w:rPr>
          <w:rFonts w:asciiTheme="minorEastAsia" w:eastAsiaTheme="minorEastAsia" w:hAnsiTheme="minorEastAsia" w:hint="eastAsia"/>
          <w:sz w:val="30"/>
        </w:rPr>
        <w:t>三、基金托管人对基金管理人的业务监督和核查</w:t>
      </w:r>
      <w:bookmarkEnd w:id="9"/>
    </w:p>
    <w:p w14:paraId="1EDC7A79" w14:textId="0E85F3FC" w:rsidR="009D164B" w:rsidRPr="0040323D" w:rsidRDefault="00AF3B6B" w:rsidP="0040323D">
      <w:pPr>
        <w:adjustRightInd w:val="0"/>
        <w:snapToGrid w:val="0"/>
        <w:spacing w:line="360" w:lineRule="auto"/>
        <w:ind w:firstLineChars="200" w:firstLine="480"/>
        <w:rPr>
          <w:rFonts w:asciiTheme="minorEastAsia" w:eastAsiaTheme="minorEastAsia" w:hAnsiTheme="minorEastAsia" w:cs="Arial"/>
          <w:bCs/>
          <w:sz w:val="24"/>
        </w:rPr>
      </w:pPr>
      <w:r w:rsidRPr="0040323D">
        <w:rPr>
          <w:rFonts w:asciiTheme="minorEastAsia" w:eastAsiaTheme="minorEastAsia" w:hAnsiTheme="minorEastAsia" w:cs="Arial" w:hint="eastAsia"/>
          <w:bCs/>
          <w:sz w:val="24"/>
        </w:rPr>
        <w:t>（一）基金托管人根据有关法律法规的规定及《基金合同》的约定，对基金投资范围、投资对象进行监督。</w:t>
      </w:r>
      <w:r w:rsidR="00297E93" w:rsidRPr="0040323D">
        <w:rPr>
          <w:rFonts w:asciiTheme="minorEastAsia" w:eastAsiaTheme="minorEastAsia" w:hAnsiTheme="minorEastAsia" w:cs="Arial" w:hint="eastAsia"/>
          <w:bCs/>
          <w:sz w:val="24"/>
        </w:rPr>
        <w:t>《</w:t>
      </w:r>
      <w:r w:rsidR="00724528" w:rsidRPr="0040323D">
        <w:rPr>
          <w:rFonts w:asciiTheme="minorEastAsia" w:eastAsiaTheme="minorEastAsia" w:hAnsiTheme="minorEastAsia" w:cs="Arial" w:hint="eastAsia"/>
          <w:sz w:val="24"/>
        </w:rPr>
        <w:t>基金合同》明确约定基金投资风格或证券选择标准的，基金管理人应按照基金托管人要求的格式，将拟投资的标的证券库中各投资品</w:t>
      </w:r>
      <w:r w:rsidR="00724528" w:rsidRPr="0040323D">
        <w:rPr>
          <w:rFonts w:asciiTheme="minorEastAsia" w:eastAsiaTheme="minorEastAsia" w:hAnsiTheme="minorEastAsia" w:cs="Arial" w:hint="eastAsia"/>
          <w:sz w:val="24"/>
        </w:rPr>
        <w:lastRenderedPageBreak/>
        <w:t>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61F9B281" w14:textId="5C7E5FA6"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cs="Arial"/>
          <w:bCs/>
          <w:sz w:val="24"/>
        </w:rPr>
      </w:pPr>
      <w:bookmarkStart w:id="10" w:name="_Hlk109911102"/>
      <w:bookmarkStart w:id="11" w:name="_Hlk111038109"/>
      <w:bookmarkStart w:id="12" w:name="_Hlk115382532"/>
      <w:r w:rsidRPr="00552058">
        <w:rPr>
          <w:rFonts w:asciiTheme="minorEastAsia" w:eastAsiaTheme="minorEastAsia" w:hAnsiTheme="minorEastAsia" w:cs="Arial" w:hint="eastAsia"/>
          <w:bCs/>
          <w:sz w:val="24"/>
        </w:rPr>
        <w:t>本基金的投资范围包括国内依法发行上市的股票（包括创业板、存托凭证以及其他依法发行、上市的股票）、内地与香港股票市场交易互联互通机制下允许买卖的香港联合交易所上市股票（以下简称“港股通标的股票”）、</w:t>
      </w:r>
      <w:r w:rsidR="00453EA8" w:rsidRPr="00453EA8">
        <w:rPr>
          <w:rFonts w:asciiTheme="minorEastAsia" w:eastAsiaTheme="minorEastAsia" w:hAnsiTheme="minorEastAsia" w:cs="Arial" w:hint="eastAsia"/>
          <w:bCs/>
          <w:sz w:val="24"/>
        </w:rPr>
        <w:t>经中国证监会依法核准或注册的公开募集的ETF（不含货币ETF）和本基金管理人管理的基金（不含货币市场基金、QDII基金、香港互认基金、基金中基金和可投资其他基金的非基金中基金）（以下统称为“公募基金”）、</w:t>
      </w:r>
      <w:r w:rsidRPr="00552058">
        <w:rPr>
          <w:rFonts w:asciiTheme="minorEastAsia" w:eastAsiaTheme="minorEastAsia" w:hAnsiTheme="minorEastAsia" w:cs="Arial" w:hint="eastAsia"/>
          <w:bCs/>
          <w:sz w:val="24"/>
        </w:rPr>
        <w:t>债券（国债、地方政府债、金融债、企业债、公司债、次级债、可转换债券（含分离交易可转债，下同）、可交换债券、央行票据、短期融资券、超短期融资券、中期票据等）、资产支持证券、债券回购、银行存款、同业存单、衍生工具（股指期货、股票期权、国债期货、信用衍生品）、现金以及法律法规或中国证监会允许基金投资的其他金融工具（但须符合中国证监会的相关规定）。</w:t>
      </w:r>
    </w:p>
    <w:p w14:paraId="4341E6DD"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cs="Arial"/>
          <w:bCs/>
          <w:sz w:val="24"/>
        </w:rPr>
      </w:pPr>
      <w:r w:rsidRPr="00552058">
        <w:rPr>
          <w:rFonts w:asciiTheme="minorEastAsia" w:eastAsiaTheme="minorEastAsia" w:hAnsiTheme="minorEastAsia" w:cs="Arial" w:hint="eastAsia"/>
          <w:bCs/>
          <w:sz w:val="24"/>
        </w:rPr>
        <w:t>如法律法规或监管机构以后允许基金投资其他品种，基金管理人在履行适当程序后，可以将其纳入投资范围。</w:t>
      </w:r>
    </w:p>
    <w:p w14:paraId="18638F79" w14:textId="04FD436A" w:rsidR="00552058" w:rsidRDefault="00552058" w:rsidP="00552058">
      <w:pPr>
        <w:adjustRightInd w:val="0"/>
        <w:snapToGrid w:val="0"/>
        <w:spacing w:before="240" w:after="240" w:line="276" w:lineRule="auto"/>
        <w:ind w:firstLineChars="200" w:firstLine="480"/>
        <w:rPr>
          <w:rFonts w:asciiTheme="minorEastAsia" w:eastAsiaTheme="minorEastAsia" w:hAnsiTheme="minorEastAsia" w:cs="Arial"/>
          <w:bCs/>
          <w:sz w:val="24"/>
        </w:rPr>
      </w:pPr>
      <w:r w:rsidRPr="00552058">
        <w:rPr>
          <w:rFonts w:asciiTheme="minorEastAsia" w:eastAsiaTheme="minorEastAsia" w:hAnsiTheme="minorEastAsia" w:cs="Arial" w:hint="eastAsia"/>
          <w:bCs/>
          <w:sz w:val="24"/>
        </w:rPr>
        <w:t>本基金的投资组合比例为：本基金投资</w:t>
      </w:r>
      <w:r w:rsidR="008A3AC0">
        <w:rPr>
          <w:rFonts w:hint="eastAsia"/>
          <w:bCs/>
          <w:color w:val="000000"/>
          <w:sz w:val="24"/>
        </w:rPr>
        <w:t>于权益类资产、</w:t>
      </w:r>
      <w:r w:rsidRPr="00552058">
        <w:rPr>
          <w:rFonts w:asciiTheme="minorEastAsia" w:eastAsiaTheme="minorEastAsia" w:hAnsiTheme="minorEastAsia" w:cs="Arial" w:hint="eastAsia"/>
          <w:bCs/>
          <w:sz w:val="24"/>
        </w:rPr>
        <w:t>可转换债券和可交换债券合计占基金资产的比例为10%-30%，其中投资于港股通标的股票的比例占股票资产的0-50%。</w:t>
      </w:r>
      <w:r w:rsidR="002C6658" w:rsidRPr="002C6658">
        <w:rPr>
          <w:rFonts w:asciiTheme="minorEastAsia" w:eastAsiaTheme="minorEastAsia" w:hAnsiTheme="minorEastAsia" w:cs="Arial" w:hint="eastAsia"/>
          <w:bCs/>
          <w:sz w:val="24"/>
        </w:rPr>
        <w:t>本基金投资于公募基金的比例为基金资产净值的0-10%。</w:t>
      </w:r>
      <w:r w:rsidRPr="00552058">
        <w:rPr>
          <w:rFonts w:asciiTheme="minorEastAsia" w:eastAsiaTheme="minorEastAsia" w:hAnsiTheme="minorEastAsia" w:cs="Arial" w:hint="eastAsia"/>
          <w:bCs/>
          <w:sz w:val="24"/>
        </w:rPr>
        <w:t>本基金应当保持不低于基金资产净值的5%的现金或到期日在一年以内的政府债券，其中现金不包括结算备付金、存出保证金、应收申购款等。本基金投资同业存单的比例不超过基金资产的20%。其他金融工具的投资比例符合法律法规和监管机构的规定。</w:t>
      </w:r>
    </w:p>
    <w:p w14:paraId="0BFC50C1" w14:textId="77777777" w:rsidR="008A3AC0" w:rsidRPr="001404D5" w:rsidRDefault="008A3AC0" w:rsidP="008A3AC0">
      <w:pPr>
        <w:spacing w:line="360" w:lineRule="auto"/>
        <w:ind w:firstLineChars="200" w:firstLine="480"/>
        <w:rPr>
          <w:bCs/>
          <w:color w:val="000000"/>
          <w:sz w:val="24"/>
        </w:rPr>
      </w:pPr>
      <w:r w:rsidRPr="001404D5">
        <w:rPr>
          <w:rFonts w:hint="eastAsia"/>
          <w:bCs/>
          <w:color w:val="000000"/>
          <w:sz w:val="24"/>
        </w:rPr>
        <w:t>其中，权益类资产包括股票、股票型基金和满足下述条件之一的混合型基金：</w:t>
      </w:r>
    </w:p>
    <w:p w14:paraId="69B2A52C" w14:textId="77777777" w:rsidR="008A3AC0" w:rsidRPr="001404D5" w:rsidRDefault="008A3AC0" w:rsidP="008A3AC0">
      <w:pPr>
        <w:pStyle w:val="af9"/>
        <w:numPr>
          <w:ilvl w:val="0"/>
          <w:numId w:val="5"/>
        </w:numPr>
        <w:spacing w:line="360" w:lineRule="auto"/>
        <w:ind w:firstLineChars="0"/>
        <w:rPr>
          <w:bCs/>
          <w:color w:val="000000"/>
          <w:sz w:val="24"/>
        </w:rPr>
      </w:pPr>
      <w:r w:rsidRPr="001404D5">
        <w:rPr>
          <w:rFonts w:hint="eastAsia"/>
          <w:bCs/>
          <w:color w:val="000000"/>
          <w:sz w:val="24"/>
        </w:rPr>
        <w:t>基金合同约定股票资产</w:t>
      </w:r>
      <w:r>
        <w:rPr>
          <w:rFonts w:hint="eastAsia"/>
          <w:bCs/>
          <w:color w:val="000000"/>
          <w:sz w:val="24"/>
        </w:rPr>
        <w:t>（含存托凭证）</w:t>
      </w:r>
      <w:r w:rsidRPr="001404D5">
        <w:rPr>
          <w:rFonts w:hint="eastAsia"/>
          <w:bCs/>
          <w:color w:val="000000"/>
          <w:sz w:val="24"/>
        </w:rPr>
        <w:t>投资比例应不低于基金资产的</w:t>
      </w:r>
      <w:r w:rsidRPr="001404D5">
        <w:rPr>
          <w:rFonts w:hint="eastAsia"/>
          <w:bCs/>
          <w:color w:val="000000"/>
          <w:sz w:val="24"/>
        </w:rPr>
        <w:t>60%</w:t>
      </w:r>
      <w:r w:rsidRPr="001404D5">
        <w:rPr>
          <w:rFonts w:hint="eastAsia"/>
          <w:bCs/>
          <w:color w:val="000000"/>
          <w:sz w:val="24"/>
        </w:rPr>
        <w:t>；</w:t>
      </w:r>
    </w:p>
    <w:p w14:paraId="05777782" w14:textId="77777777" w:rsidR="008A3AC0" w:rsidRPr="001404D5" w:rsidRDefault="008A3AC0" w:rsidP="008A3AC0">
      <w:pPr>
        <w:pStyle w:val="af9"/>
        <w:numPr>
          <w:ilvl w:val="0"/>
          <w:numId w:val="5"/>
        </w:numPr>
        <w:spacing w:line="360" w:lineRule="auto"/>
        <w:ind w:firstLineChars="0"/>
        <w:rPr>
          <w:bCs/>
          <w:color w:val="000000"/>
          <w:sz w:val="24"/>
        </w:rPr>
      </w:pPr>
      <w:r w:rsidRPr="001404D5">
        <w:rPr>
          <w:rFonts w:hint="eastAsia"/>
          <w:bCs/>
          <w:color w:val="000000"/>
          <w:sz w:val="24"/>
        </w:rPr>
        <w:t>最近四个季度定期报告披露的股票资产</w:t>
      </w:r>
      <w:r>
        <w:rPr>
          <w:rFonts w:hint="eastAsia"/>
          <w:bCs/>
          <w:color w:val="000000"/>
          <w:sz w:val="24"/>
        </w:rPr>
        <w:t>（含存托凭证）</w:t>
      </w:r>
      <w:r w:rsidRPr="001404D5">
        <w:rPr>
          <w:rFonts w:hint="eastAsia"/>
          <w:bCs/>
          <w:color w:val="000000"/>
          <w:sz w:val="24"/>
        </w:rPr>
        <w:t>投资比例均不低于基金资产的</w:t>
      </w:r>
      <w:r w:rsidRPr="001404D5">
        <w:rPr>
          <w:rFonts w:hint="eastAsia"/>
          <w:bCs/>
          <w:color w:val="000000"/>
          <w:sz w:val="24"/>
        </w:rPr>
        <w:t>60%</w:t>
      </w:r>
      <w:r w:rsidRPr="001404D5">
        <w:rPr>
          <w:rFonts w:hint="eastAsia"/>
          <w:bCs/>
          <w:color w:val="000000"/>
          <w:sz w:val="24"/>
        </w:rPr>
        <w:t>。</w:t>
      </w:r>
    </w:p>
    <w:p w14:paraId="1AA5D438" w14:textId="162EB1B1" w:rsidR="009D164B" w:rsidRPr="0040323D" w:rsidRDefault="00AF3B6B" w:rsidP="00552058">
      <w:pPr>
        <w:adjustRightInd w:val="0"/>
        <w:snapToGrid w:val="0"/>
        <w:spacing w:before="240" w:after="240" w:line="276" w:lineRule="auto"/>
        <w:ind w:firstLineChars="200" w:firstLine="480"/>
        <w:rPr>
          <w:rFonts w:asciiTheme="minorEastAsia" w:eastAsiaTheme="minorEastAsia" w:hAnsiTheme="minorEastAsia"/>
          <w:sz w:val="24"/>
        </w:rPr>
      </w:pPr>
      <w:r w:rsidRPr="0040323D">
        <w:rPr>
          <w:rFonts w:asciiTheme="minorEastAsia" w:eastAsiaTheme="minorEastAsia" w:hAnsiTheme="minorEastAsia" w:hint="eastAsia"/>
          <w:sz w:val="24"/>
        </w:rPr>
        <w:t>（二）基金托管人根据有关法律法规的规定及《基金合同》的约定，对基金投资比例进行监督。基金托管人按下述比例和调整期限进行监督：</w:t>
      </w:r>
    </w:p>
    <w:bookmarkEnd w:id="10"/>
    <w:p w14:paraId="79A88FDA" w14:textId="030FF3BB"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（1）本基金投资</w:t>
      </w:r>
      <w:r w:rsidR="008A3AC0">
        <w:rPr>
          <w:rFonts w:asciiTheme="minorEastAsia" w:eastAsiaTheme="minorEastAsia" w:hAnsiTheme="minorEastAsia" w:hint="eastAsia"/>
          <w:bCs/>
          <w:sz w:val="24"/>
        </w:rPr>
        <w:t>于权益类资产</w:t>
      </w:r>
      <w:r w:rsidR="00453EA8">
        <w:rPr>
          <w:rFonts w:asciiTheme="minorEastAsia" w:eastAsiaTheme="minorEastAsia" w:hAnsiTheme="minorEastAsia" w:hint="eastAsia"/>
          <w:bCs/>
          <w:sz w:val="24"/>
        </w:rPr>
        <w:t>、</w:t>
      </w:r>
      <w:r w:rsidRPr="00552058">
        <w:rPr>
          <w:rFonts w:asciiTheme="minorEastAsia" w:eastAsiaTheme="minorEastAsia" w:hAnsiTheme="minorEastAsia" w:hint="eastAsia"/>
          <w:bCs/>
          <w:sz w:val="24"/>
        </w:rPr>
        <w:t>可转换债券和可交换债券合计占基金资产的比例为10%-30%；本基金投资于港股通标的股票的比例占股票资产的0-50%；</w:t>
      </w:r>
    </w:p>
    <w:p w14:paraId="52A385BF"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lastRenderedPageBreak/>
        <w:t>（2）本基金投资于同业存单的比例不超过基金资产的20%；</w:t>
      </w:r>
    </w:p>
    <w:p w14:paraId="664ECB6C"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（3）本基金应当保持不低于基金资产净值5％的现金或者到期日在一年以内的政府债券，其中现金不包括结算备付金、存出保证金和应收申购款等；</w:t>
      </w:r>
    </w:p>
    <w:p w14:paraId="77DEE2AB" w14:textId="28221618"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（4）本基金持有一家公司发行的证券</w:t>
      </w:r>
      <w:r w:rsidR="00453EA8">
        <w:rPr>
          <w:rFonts w:hint="eastAsia"/>
          <w:bCs/>
          <w:color w:val="000000"/>
          <w:sz w:val="24"/>
        </w:rPr>
        <w:t>（不含本基金所投资的基金份额）</w:t>
      </w:r>
      <w:r w:rsidRPr="00552058">
        <w:rPr>
          <w:rFonts w:asciiTheme="minorEastAsia" w:eastAsiaTheme="minorEastAsia" w:hAnsiTheme="minorEastAsia" w:hint="eastAsia"/>
          <w:bCs/>
          <w:sz w:val="24"/>
        </w:rPr>
        <w:t>，其市值不超过基金资产净值的10％；</w:t>
      </w:r>
    </w:p>
    <w:p w14:paraId="3CAAC4AA" w14:textId="1A479F82"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（5）本基金管理人管理的且由本基金托管人托管的全部基金持有一家公司发行的证券</w:t>
      </w:r>
      <w:r w:rsidR="00453EA8">
        <w:rPr>
          <w:rFonts w:hint="eastAsia"/>
          <w:bCs/>
          <w:color w:val="000000"/>
          <w:sz w:val="24"/>
        </w:rPr>
        <w:t>（不含本基金所投资的基金份额）</w:t>
      </w:r>
      <w:r w:rsidRPr="00552058">
        <w:rPr>
          <w:rFonts w:asciiTheme="minorEastAsia" w:eastAsiaTheme="minorEastAsia" w:hAnsiTheme="minorEastAsia" w:hint="eastAsia"/>
          <w:bCs/>
          <w:sz w:val="24"/>
        </w:rPr>
        <w:t>，不超过该证券的10％；</w:t>
      </w:r>
    </w:p>
    <w:p w14:paraId="7E47820C"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（6）本基金投资于同一原始权益人的各类资产支持证券的比例，不得超过基金资产净值的10％；</w:t>
      </w:r>
    </w:p>
    <w:p w14:paraId="185513D4"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（7）本基金持有的全部资产支持证券，其市值不得超过基金资产净值的20％；</w:t>
      </w:r>
    </w:p>
    <w:p w14:paraId="12E65D19"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（8）本基金持有的同一（指同一信用级别）资产支持证券的比例，不得超过该资产支持证券规模的10％；</w:t>
      </w:r>
    </w:p>
    <w:p w14:paraId="2A8E3A96" w14:textId="2F532ADC"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（9）本基金管理人管理的且由本基金托管人托管的全部基金投资于同一原始权益人的各类资产支持证券，不得超过其各类资产支持证券合计规模的10％；</w:t>
      </w:r>
    </w:p>
    <w:p w14:paraId="2D6A504E"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（10）基金财产参与股票发行申购，本基金所申报的金额不超过本基金的总资产，本基金所申报的股票数量不超过拟发行股票公司本次发行股票的总量；</w:t>
      </w:r>
    </w:p>
    <w:p w14:paraId="62978292"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（11）本基金进入全国银行间同业市场进行债券回购的最长期限为1年，债券回购到期后不得展期；</w:t>
      </w:r>
    </w:p>
    <w:p w14:paraId="69790AC1"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（12）本基金若参与股指期货交易，应当符合下列投资限制：</w:t>
      </w:r>
    </w:p>
    <w:p w14:paraId="639E87A5"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①本基金在任何交易日日终，持有的买入股指期货合约价值，不得超过基金资产净值的10%；</w:t>
      </w:r>
    </w:p>
    <w:p w14:paraId="53C6B69B"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②每个交易日日终在扣除股指期货合约和国债期货合约需缴纳的交易保证金后，应当保持不低于基金资产净值的5%的现金或到期日在一年以内的政府债券，其中现金不包括结算备付金、存出保证金、应收申购款等；</w:t>
      </w:r>
    </w:p>
    <w:p w14:paraId="09584735"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③本基金在任何交易日日终，持有的买入股指期货、国债期货合约价值与有价证券市值之和，不得超过基金资产净值的95%；</w:t>
      </w:r>
    </w:p>
    <w:p w14:paraId="1AB06923"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其中，有价证券指股票、债券（不含到期日在一年以内的政府债券）、资产支持证券、买入返售金融资产（不含质押式回购）等；</w:t>
      </w:r>
    </w:p>
    <w:p w14:paraId="7CBE35FC"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④本基金在任何交易日日终，持有的卖出股指期货合约价值不得超过基金持</w:t>
      </w:r>
      <w:r w:rsidRPr="00552058">
        <w:rPr>
          <w:rFonts w:asciiTheme="minorEastAsia" w:eastAsiaTheme="minorEastAsia" w:hAnsiTheme="minorEastAsia" w:hint="eastAsia"/>
          <w:bCs/>
          <w:sz w:val="24"/>
        </w:rPr>
        <w:lastRenderedPageBreak/>
        <w:t>有的股票总市值的20%；</w:t>
      </w:r>
    </w:p>
    <w:p w14:paraId="6BCEF07B" w14:textId="0010E4E6" w:rsidR="00552058" w:rsidRPr="00552058" w:rsidRDefault="0068508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⑤</w:t>
      </w:r>
      <w:r w:rsidR="00552058" w:rsidRPr="00552058">
        <w:rPr>
          <w:rFonts w:asciiTheme="minorEastAsia" w:eastAsiaTheme="minorEastAsia" w:hAnsiTheme="minorEastAsia" w:hint="eastAsia"/>
          <w:bCs/>
          <w:sz w:val="24"/>
        </w:rPr>
        <w:t>本基金在任何交易日内交易（不包括平仓）的股指期货合约的成交金额不得超过上一交易日基金资产净值的20%；</w:t>
      </w:r>
    </w:p>
    <w:p w14:paraId="7CEC9AC3"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（13）本基金若参与国债期货交易，应当符合下列投资限制：</w:t>
      </w:r>
    </w:p>
    <w:p w14:paraId="1BFA2341"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①本基金在任何交易日日终，持有的买入国债期货合约价值，不得超过基金资产净值的15%；</w:t>
      </w:r>
    </w:p>
    <w:p w14:paraId="66272431"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②每个交易日日终在扣除股指期货合约和国债期货合约需缴纳的交易保证金后，应当保持不低于基金资产净值的5%的现金或到期日在一年以内的政府债券，其中现金不包括结算备付金、存出保证金、应收申购款等；</w:t>
      </w:r>
    </w:p>
    <w:p w14:paraId="06A452C2"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③本基金在任何交易日日终，持有的买入股指期货、国债期货合约价值与有价证券市值之和，不得超过基金资产净值的95%；</w:t>
      </w:r>
    </w:p>
    <w:p w14:paraId="69077F9E"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其中，有价证券指股票、债券（不含到期日在一年以内的政府债券）、资产支持证券、买入返售金融资产（不含质押式回购）等；</w:t>
      </w:r>
    </w:p>
    <w:p w14:paraId="5FB7B181"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④本基金在任何交易日日终，持有的卖出国债期货合约价值不得超过基金持有的债券总市值的30%；</w:t>
      </w:r>
    </w:p>
    <w:p w14:paraId="12E95F2A" w14:textId="1E2C5BF1" w:rsidR="00552058" w:rsidRPr="00552058" w:rsidRDefault="002C6658" w:rsidP="00552058">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fldChar w:fldCharType="begin"/>
      </w:r>
      <w:r>
        <w:rPr>
          <w:rFonts w:asciiTheme="minorEastAsia" w:eastAsiaTheme="minorEastAsia" w:hAnsiTheme="minorEastAsia"/>
          <w:bCs/>
          <w:sz w:val="24"/>
        </w:rPr>
        <w:instrText xml:space="preserve"> </w:instrText>
      </w:r>
      <w:r>
        <w:rPr>
          <w:rFonts w:asciiTheme="minorEastAsia" w:eastAsiaTheme="minorEastAsia" w:hAnsiTheme="minorEastAsia" w:hint="eastAsia"/>
          <w:bCs/>
          <w:sz w:val="24"/>
        </w:rPr>
        <w:instrText>= 5 \* GB3</w:instrText>
      </w:r>
      <w:r>
        <w:rPr>
          <w:rFonts w:asciiTheme="minorEastAsia" w:eastAsiaTheme="minorEastAsia" w:hAnsiTheme="minorEastAsia"/>
          <w:bCs/>
          <w:sz w:val="24"/>
        </w:rPr>
        <w:instrText xml:space="preserve"> </w:instrText>
      </w:r>
      <w:r>
        <w:rPr>
          <w:rFonts w:asciiTheme="minorEastAsia" w:eastAsiaTheme="minorEastAsia" w:hAnsiTheme="minorEastAsia"/>
          <w:bCs/>
          <w:sz w:val="24"/>
        </w:rPr>
        <w:fldChar w:fldCharType="separate"/>
      </w:r>
      <w:r>
        <w:rPr>
          <w:rFonts w:asciiTheme="minorEastAsia" w:eastAsiaTheme="minorEastAsia" w:hAnsiTheme="minorEastAsia" w:hint="eastAsia"/>
          <w:bCs/>
          <w:noProof/>
          <w:sz w:val="24"/>
        </w:rPr>
        <w:t>⑤</w:t>
      </w:r>
      <w:r>
        <w:rPr>
          <w:rFonts w:asciiTheme="minorEastAsia" w:eastAsiaTheme="minorEastAsia" w:hAnsiTheme="minorEastAsia"/>
          <w:bCs/>
          <w:sz w:val="24"/>
        </w:rPr>
        <w:fldChar w:fldCharType="end"/>
      </w:r>
      <w:r w:rsidR="00552058" w:rsidRPr="00552058">
        <w:rPr>
          <w:rFonts w:asciiTheme="minorEastAsia" w:eastAsiaTheme="minorEastAsia" w:hAnsiTheme="minorEastAsia" w:hint="eastAsia"/>
          <w:bCs/>
          <w:sz w:val="24"/>
        </w:rPr>
        <w:t>本基金在任何交易日内交易（不包括平仓）的国债期货合约的成交金额不得超过上一交易日基金资产净值的30%；</w:t>
      </w:r>
    </w:p>
    <w:p w14:paraId="1DF49A76"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（14）本基金若参与股票期权交易的，需遵守下列投资比例限制：</w:t>
      </w:r>
    </w:p>
    <w:p w14:paraId="4BD6704A"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①本基金因未平仓的股票期权合约支付和收取的权利金总额不得超过基金资产净值的10%；</w:t>
      </w:r>
    </w:p>
    <w:p w14:paraId="7C9EB566"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②本基金开仓卖出认购股票期权的，应持有足额标的证券；开仓卖出认沽股票期权的，应持有合约行权所需的全额现金或交易所规则认可的可冲抵股票期权保证金的现金等价物；</w:t>
      </w:r>
    </w:p>
    <w:p w14:paraId="6FA2072F" w14:textId="7777777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③本基金未平仓的股票期权合约面值不得超过基金资产净值的20%。其中，合约面值按照行权价乘以合约乘数计算；</w:t>
      </w:r>
    </w:p>
    <w:p w14:paraId="659E1EFE" w14:textId="51FA17B9"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（1</w:t>
      </w:r>
      <w:r w:rsidR="00526375">
        <w:rPr>
          <w:rFonts w:asciiTheme="minorEastAsia" w:eastAsiaTheme="minorEastAsia" w:hAnsiTheme="minorEastAsia"/>
          <w:bCs/>
          <w:sz w:val="24"/>
        </w:rPr>
        <w:t>5</w:t>
      </w:r>
      <w:r w:rsidRPr="00552058">
        <w:rPr>
          <w:rFonts w:asciiTheme="minorEastAsia" w:eastAsiaTheme="minorEastAsia" w:hAnsiTheme="minorEastAsia" w:hint="eastAsia"/>
          <w:bCs/>
          <w:sz w:val="24"/>
        </w:rPr>
        <w:t>）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7E17DA39" w14:textId="026CE702"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lastRenderedPageBreak/>
        <w:t>（1</w:t>
      </w:r>
      <w:r w:rsidR="00526375">
        <w:rPr>
          <w:rFonts w:asciiTheme="minorEastAsia" w:eastAsiaTheme="minorEastAsia" w:hAnsiTheme="minorEastAsia"/>
          <w:bCs/>
          <w:sz w:val="24"/>
        </w:rPr>
        <w:t>6</w:t>
      </w:r>
      <w:r w:rsidRPr="00552058">
        <w:rPr>
          <w:rFonts w:asciiTheme="minorEastAsia" w:eastAsiaTheme="minorEastAsia" w:hAnsiTheme="minorEastAsia" w:hint="eastAsia"/>
          <w:bCs/>
          <w:sz w:val="24"/>
        </w:rPr>
        <w:t>）本基金主动投资于流动性受限资产</w:t>
      </w:r>
      <w:r w:rsidR="00453EA8">
        <w:rPr>
          <w:rFonts w:hint="eastAsia"/>
          <w:bCs/>
          <w:color w:val="000000"/>
          <w:sz w:val="24"/>
        </w:rPr>
        <w:t>（含封闭运作基金及定期开放式基金等流通受限基金）</w:t>
      </w:r>
      <w:r w:rsidRPr="00552058">
        <w:rPr>
          <w:rFonts w:asciiTheme="minorEastAsia" w:eastAsiaTheme="minorEastAsia" w:hAnsiTheme="minorEastAsia" w:hint="eastAsia"/>
          <w:bCs/>
          <w:sz w:val="24"/>
        </w:rPr>
        <w:t>的市值合计不得超过基金资产净值的15%；因证券市场波动、上市公司股票停牌、基金规模变动等基金管理人之外的因素致使基金不符合该比例限制的，基金管理人不得主动新增流动性受限资产的投资；</w:t>
      </w:r>
    </w:p>
    <w:p w14:paraId="68F133F5" w14:textId="6AECDE1B"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（1</w:t>
      </w:r>
      <w:r w:rsidR="00526375">
        <w:rPr>
          <w:rFonts w:asciiTheme="minorEastAsia" w:eastAsiaTheme="minorEastAsia" w:hAnsiTheme="minorEastAsia"/>
          <w:bCs/>
          <w:sz w:val="24"/>
        </w:rPr>
        <w:t>7</w:t>
      </w:r>
      <w:r w:rsidRPr="00552058">
        <w:rPr>
          <w:rFonts w:asciiTheme="minorEastAsia" w:eastAsiaTheme="minorEastAsia" w:hAnsiTheme="minorEastAsia" w:hint="eastAsia"/>
          <w:bCs/>
          <w:sz w:val="24"/>
        </w:rPr>
        <w:t>）基金资产总值不得超过基金资产净值的140%；</w:t>
      </w:r>
    </w:p>
    <w:p w14:paraId="08631F7D" w14:textId="1C11A857"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w:t>
      </w:r>
      <w:r w:rsidR="00526375">
        <w:rPr>
          <w:rFonts w:asciiTheme="minorEastAsia" w:eastAsiaTheme="minorEastAsia" w:hAnsiTheme="minorEastAsia"/>
          <w:bCs/>
          <w:sz w:val="24"/>
        </w:rPr>
        <w:t>18</w:t>
      </w:r>
      <w:r w:rsidRPr="00552058">
        <w:rPr>
          <w:rFonts w:asciiTheme="minorEastAsia" w:eastAsiaTheme="minorEastAsia" w:hAnsiTheme="minorEastAsia" w:hint="eastAsia"/>
          <w:bCs/>
          <w:sz w:val="24"/>
        </w:rPr>
        <w:t>）本基金投资存托凭证的比例限制依照国内依法发行上市的股票执行，与国内依法发行上市的股票合并计算；</w:t>
      </w:r>
    </w:p>
    <w:p w14:paraId="41EF11C9" w14:textId="6C73C395" w:rsidR="00453EA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w:t>
      </w:r>
      <w:r w:rsidR="00526375">
        <w:rPr>
          <w:rFonts w:asciiTheme="minorEastAsia" w:eastAsiaTheme="minorEastAsia" w:hAnsiTheme="minorEastAsia"/>
          <w:bCs/>
          <w:sz w:val="24"/>
        </w:rPr>
        <w:t>19</w:t>
      </w:r>
      <w:r w:rsidRPr="00552058">
        <w:rPr>
          <w:rFonts w:asciiTheme="minorEastAsia" w:eastAsiaTheme="minorEastAsia" w:hAnsiTheme="minorEastAsia" w:hint="eastAsia"/>
          <w:bCs/>
          <w:sz w:val="24"/>
        </w:rPr>
        <w:t>）</w:t>
      </w:r>
      <w:r w:rsidR="00453EA8">
        <w:rPr>
          <w:rFonts w:hint="eastAsia"/>
          <w:bCs/>
          <w:color w:val="000000"/>
          <w:sz w:val="24"/>
        </w:rPr>
        <w:t>本基金投资于公</w:t>
      </w:r>
      <w:proofErr w:type="gramStart"/>
      <w:r w:rsidR="00453EA8">
        <w:rPr>
          <w:rFonts w:hint="eastAsia"/>
          <w:bCs/>
          <w:color w:val="000000"/>
          <w:sz w:val="24"/>
        </w:rPr>
        <w:t>募基金</w:t>
      </w:r>
      <w:proofErr w:type="gramEnd"/>
      <w:r w:rsidR="00453EA8">
        <w:rPr>
          <w:rFonts w:hint="eastAsia"/>
          <w:bCs/>
          <w:color w:val="000000"/>
          <w:sz w:val="24"/>
        </w:rPr>
        <w:t>的比例为基金资产净值的</w:t>
      </w:r>
      <w:r w:rsidR="00453EA8">
        <w:rPr>
          <w:rFonts w:hint="eastAsia"/>
          <w:bCs/>
          <w:color w:val="000000"/>
          <w:sz w:val="24"/>
        </w:rPr>
        <w:t>0-10%</w:t>
      </w:r>
      <w:r w:rsidR="00453EA8">
        <w:rPr>
          <w:rFonts w:hint="eastAsia"/>
          <w:bCs/>
          <w:color w:val="000000"/>
          <w:sz w:val="24"/>
        </w:rPr>
        <w:t>；</w:t>
      </w:r>
    </w:p>
    <w:p w14:paraId="51CEE7F1" w14:textId="4B6585B3" w:rsidR="00453EA8" w:rsidRDefault="00453EA8" w:rsidP="00453EA8">
      <w:pPr>
        <w:spacing w:line="360" w:lineRule="auto"/>
        <w:ind w:firstLineChars="200" w:firstLine="480"/>
        <w:rPr>
          <w:bCs/>
          <w:color w:val="000000"/>
          <w:sz w:val="24"/>
        </w:rPr>
      </w:pPr>
      <w:r>
        <w:rPr>
          <w:rFonts w:hint="eastAsia"/>
          <w:bCs/>
          <w:color w:val="000000"/>
          <w:sz w:val="24"/>
        </w:rPr>
        <w:t>（</w:t>
      </w:r>
      <w:r w:rsidR="00526375">
        <w:rPr>
          <w:bCs/>
          <w:color w:val="000000"/>
          <w:sz w:val="24"/>
        </w:rPr>
        <w:t>20</w:t>
      </w:r>
      <w:r>
        <w:rPr>
          <w:rFonts w:hint="eastAsia"/>
          <w:bCs/>
          <w:color w:val="000000"/>
          <w:sz w:val="24"/>
        </w:rPr>
        <w:t>）本基金管理人管理的</w:t>
      </w:r>
      <w:r w:rsidR="00FA107B" w:rsidRPr="00552058">
        <w:rPr>
          <w:rFonts w:asciiTheme="minorEastAsia" w:eastAsiaTheme="minorEastAsia" w:hAnsiTheme="minorEastAsia" w:hint="eastAsia"/>
          <w:bCs/>
          <w:sz w:val="24"/>
        </w:rPr>
        <w:t>且由本基金托管人托管的</w:t>
      </w:r>
      <w:r>
        <w:rPr>
          <w:rFonts w:hint="eastAsia"/>
          <w:bCs/>
          <w:color w:val="000000"/>
          <w:sz w:val="24"/>
        </w:rPr>
        <w:t>全部基金（</w:t>
      </w:r>
      <w:r>
        <w:rPr>
          <w:rFonts w:hint="eastAsia"/>
          <w:bCs/>
          <w:color w:val="000000"/>
          <w:sz w:val="24"/>
        </w:rPr>
        <w:t>ETF</w:t>
      </w:r>
      <w:r>
        <w:rPr>
          <w:rFonts w:hint="eastAsia"/>
          <w:bCs/>
          <w:color w:val="000000"/>
          <w:sz w:val="24"/>
        </w:rPr>
        <w:t>联接基金除外）持有单只基金不超过被投资基金净资产的</w:t>
      </w:r>
      <w:r>
        <w:rPr>
          <w:rFonts w:hint="eastAsia"/>
          <w:bCs/>
          <w:color w:val="000000"/>
          <w:sz w:val="24"/>
        </w:rPr>
        <w:t>20%</w:t>
      </w:r>
      <w:r>
        <w:rPr>
          <w:rFonts w:hint="eastAsia"/>
          <w:bCs/>
          <w:color w:val="000000"/>
          <w:sz w:val="24"/>
        </w:rPr>
        <w:t>，被投资基金净资产规模以最近定期报告披露的规模为准；</w:t>
      </w:r>
    </w:p>
    <w:p w14:paraId="09A4DF06" w14:textId="10C6F8B3" w:rsidR="00453EA8" w:rsidRDefault="00453EA8" w:rsidP="00453EA8">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sidR="00526375">
        <w:rPr>
          <w:bCs/>
          <w:color w:val="000000"/>
          <w:sz w:val="24"/>
        </w:rPr>
        <w:t>1</w:t>
      </w:r>
      <w:r>
        <w:rPr>
          <w:rFonts w:hint="eastAsia"/>
          <w:bCs/>
          <w:color w:val="000000"/>
          <w:sz w:val="24"/>
        </w:rPr>
        <w:t>）本基金投资其他基金时，被投资基金的运作期限应当不少于</w:t>
      </w:r>
      <w:r>
        <w:rPr>
          <w:rFonts w:hint="eastAsia"/>
          <w:bCs/>
          <w:color w:val="000000"/>
          <w:sz w:val="24"/>
        </w:rPr>
        <w:t>1</w:t>
      </w:r>
      <w:r>
        <w:rPr>
          <w:rFonts w:hint="eastAsia"/>
          <w:bCs/>
          <w:color w:val="000000"/>
          <w:sz w:val="24"/>
        </w:rPr>
        <w:t>年，最近定期报告披露的基金净资产应当不低于</w:t>
      </w:r>
      <w:r>
        <w:rPr>
          <w:rFonts w:hint="eastAsia"/>
          <w:bCs/>
          <w:color w:val="000000"/>
          <w:sz w:val="24"/>
        </w:rPr>
        <w:t>1</w:t>
      </w:r>
      <w:r>
        <w:rPr>
          <w:rFonts w:hint="eastAsia"/>
          <w:bCs/>
          <w:color w:val="000000"/>
          <w:sz w:val="24"/>
        </w:rPr>
        <w:t>亿元；</w:t>
      </w:r>
    </w:p>
    <w:p w14:paraId="12E68D17" w14:textId="3C3FA83F" w:rsidR="00453EA8" w:rsidRDefault="00453EA8" w:rsidP="00453EA8">
      <w:pPr>
        <w:adjustRightInd w:val="0"/>
        <w:snapToGrid w:val="0"/>
        <w:spacing w:before="240" w:after="240" w:line="276" w:lineRule="auto"/>
        <w:ind w:firstLineChars="200" w:firstLine="480"/>
        <w:rPr>
          <w:bCs/>
          <w:color w:val="000000"/>
          <w:sz w:val="24"/>
        </w:rPr>
      </w:pPr>
      <w:r>
        <w:rPr>
          <w:rFonts w:hint="eastAsia"/>
          <w:bCs/>
          <w:color w:val="000000"/>
          <w:sz w:val="24"/>
        </w:rPr>
        <w:t>（</w:t>
      </w:r>
      <w:r>
        <w:rPr>
          <w:rFonts w:hint="eastAsia"/>
          <w:bCs/>
          <w:color w:val="000000"/>
          <w:sz w:val="24"/>
        </w:rPr>
        <w:t>2</w:t>
      </w:r>
      <w:r w:rsidR="00526375">
        <w:rPr>
          <w:bCs/>
          <w:color w:val="000000"/>
          <w:sz w:val="24"/>
        </w:rPr>
        <w:t>2</w:t>
      </w:r>
      <w:r>
        <w:rPr>
          <w:rFonts w:hint="eastAsia"/>
          <w:bCs/>
          <w:color w:val="000000"/>
          <w:sz w:val="24"/>
        </w:rPr>
        <w:t>）本基金投资于封闭运作基金及定期开放式基金等流通受限基金的比例合计不超过基金资产净值的</w:t>
      </w:r>
      <w:r>
        <w:rPr>
          <w:rFonts w:hint="eastAsia"/>
          <w:bCs/>
          <w:color w:val="000000"/>
          <w:sz w:val="24"/>
        </w:rPr>
        <w:t>10%</w:t>
      </w:r>
      <w:r>
        <w:rPr>
          <w:rFonts w:hint="eastAsia"/>
          <w:bCs/>
          <w:color w:val="000000"/>
          <w:sz w:val="24"/>
        </w:rPr>
        <w:t>；</w:t>
      </w:r>
    </w:p>
    <w:p w14:paraId="5DBBBDF3" w14:textId="71263BB8" w:rsidR="00552058" w:rsidRPr="00552058" w:rsidRDefault="00453EA8" w:rsidP="00453EA8">
      <w:pPr>
        <w:adjustRightInd w:val="0"/>
        <w:snapToGrid w:val="0"/>
        <w:spacing w:before="240" w:after="240" w:line="276" w:lineRule="auto"/>
        <w:ind w:firstLineChars="200" w:firstLine="480"/>
        <w:rPr>
          <w:rFonts w:asciiTheme="minorEastAsia" w:eastAsiaTheme="minorEastAsia" w:hAnsiTheme="minorEastAsia"/>
          <w:bCs/>
          <w:sz w:val="24"/>
        </w:rPr>
      </w:pPr>
      <w:r>
        <w:rPr>
          <w:rFonts w:hint="eastAsia"/>
          <w:bCs/>
          <w:color w:val="000000"/>
          <w:sz w:val="24"/>
        </w:rPr>
        <w:t>（</w:t>
      </w:r>
      <w:r>
        <w:rPr>
          <w:rFonts w:hint="eastAsia"/>
          <w:bCs/>
          <w:color w:val="000000"/>
          <w:sz w:val="24"/>
        </w:rPr>
        <w:t>2</w:t>
      </w:r>
      <w:r w:rsidR="00526375">
        <w:rPr>
          <w:bCs/>
          <w:color w:val="000000"/>
          <w:sz w:val="24"/>
        </w:rPr>
        <w:t>3</w:t>
      </w:r>
      <w:r>
        <w:rPr>
          <w:rFonts w:hint="eastAsia"/>
          <w:bCs/>
          <w:color w:val="000000"/>
          <w:sz w:val="24"/>
        </w:rPr>
        <w:t>）</w:t>
      </w:r>
      <w:r w:rsidR="00552058" w:rsidRPr="00552058">
        <w:rPr>
          <w:rFonts w:asciiTheme="minorEastAsia" w:eastAsiaTheme="minorEastAsia" w:hAnsiTheme="minorEastAsia" w:hint="eastAsia"/>
          <w:bCs/>
          <w:sz w:val="24"/>
        </w:rPr>
        <w:t>法律法规及中国证监会规定的和基金合同约定的其他投资限制。</w:t>
      </w:r>
    </w:p>
    <w:p w14:paraId="0672EE52" w14:textId="038E57B6" w:rsidR="00552058" w:rsidRP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除上述（3）、（</w:t>
      </w:r>
      <w:r w:rsidR="00526375" w:rsidRPr="00552058">
        <w:rPr>
          <w:rFonts w:asciiTheme="minorEastAsia" w:eastAsiaTheme="minorEastAsia" w:hAnsiTheme="minorEastAsia" w:hint="eastAsia"/>
          <w:bCs/>
          <w:sz w:val="24"/>
        </w:rPr>
        <w:t>1</w:t>
      </w:r>
      <w:r w:rsidR="00526375">
        <w:rPr>
          <w:rFonts w:asciiTheme="minorEastAsia" w:eastAsiaTheme="minorEastAsia" w:hAnsiTheme="minorEastAsia"/>
          <w:bCs/>
          <w:sz w:val="24"/>
        </w:rPr>
        <w:t>6</w:t>
      </w:r>
      <w:r w:rsidRPr="00552058">
        <w:rPr>
          <w:rFonts w:asciiTheme="minorEastAsia" w:eastAsiaTheme="minorEastAsia" w:hAnsiTheme="minorEastAsia" w:hint="eastAsia"/>
          <w:bCs/>
          <w:sz w:val="24"/>
        </w:rPr>
        <w:t>）</w:t>
      </w:r>
      <w:r w:rsidR="00453EA8">
        <w:rPr>
          <w:rFonts w:asciiTheme="minorEastAsia" w:eastAsiaTheme="minorEastAsia" w:hAnsiTheme="minorEastAsia" w:hint="eastAsia"/>
          <w:bCs/>
          <w:sz w:val="24"/>
        </w:rPr>
        <w:t>、（2</w:t>
      </w:r>
      <w:r w:rsidR="00526375">
        <w:rPr>
          <w:rFonts w:asciiTheme="minorEastAsia" w:eastAsiaTheme="minorEastAsia" w:hAnsiTheme="minorEastAsia"/>
          <w:bCs/>
          <w:sz w:val="24"/>
        </w:rPr>
        <w:t>0</w:t>
      </w:r>
      <w:r w:rsidR="00453EA8">
        <w:rPr>
          <w:rFonts w:asciiTheme="minorEastAsia" w:eastAsiaTheme="minorEastAsia" w:hAnsiTheme="minorEastAsia" w:hint="eastAsia"/>
          <w:bCs/>
          <w:sz w:val="24"/>
        </w:rPr>
        <w:t>）</w:t>
      </w:r>
      <w:r w:rsidRPr="00552058">
        <w:rPr>
          <w:rFonts w:asciiTheme="minorEastAsia" w:eastAsiaTheme="minorEastAsia" w:hAnsiTheme="minorEastAsia" w:hint="eastAsia"/>
          <w:bCs/>
          <w:sz w:val="24"/>
        </w:rPr>
        <w:t>情形之外，因证券、期货市场波动、证券发行人合并、基金规模变动等基金管理人之外的因素致使基金投资比例不符合上述规定投资比例的，基金管理人应当在所涉证券可交易之日起10个交易日内进行调整，但中国证监会规定的特殊情形除外。</w:t>
      </w:r>
      <w:r w:rsidR="00453EA8" w:rsidRPr="00453EA8">
        <w:rPr>
          <w:rFonts w:asciiTheme="minorEastAsia" w:eastAsiaTheme="minorEastAsia" w:hAnsiTheme="minorEastAsia" w:hint="eastAsia"/>
          <w:bCs/>
          <w:sz w:val="24"/>
        </w:rPr>
        <w:t>因证券市场波动、基金规模变动等基金管理人之外的因素致使基金投资不符合前款第（2</w:t>
      </w:r>
      <w:r w:rsidR="00526375">
        <w:rPr>
          <w:rFonts w:asciiTheme="minorEastAsia" w:eastAsiaTheme="minorEastAsia" w:hAnsiTheme="minorEastAsia"/>
          <w:bCs/>
          <w:sz w:val="24"/>
        </w:rPr>
        <w:t>0</w:t>
      </w:r>
      <w:r w:rsidR="00453EA8" w:rsidRPr="00453EA8">
        <w:rPr>
          <w:rFonts w:asciiTheme="minorEastAsia" w:eastAsiaTheme="minorEastAsia" w:hAnsiTheme="minorEastAsia" w:hint="eastAsia"/>
          <w:bCs/>
          <w:sz w:val="24"/>
        </w:rPr>
        <w:t>）项规定的比例的，基金管理人应当在20个交易日内进行调整，但中国证监会规定的特殊情形除外。法律法规另有规定的，从其规定。</w:t>
      </w:r>
    </w:p>
    <w:p w14:paraId="20E24C69" w14:textId="41DD98A7" w:rsidR="00552058" w:rsidRDefault="00552058" w:rsidP="00552058">
      <w:pPr>
        <w:adjustRightInd w:val="0"/>
        <w:snapToGrid w:val="0"/>
        <w:spacing w:before="240" w:after="240" w:line="276" w:lineRule="auto"/>
        <w:ind w:firstLineChars="200" w:firstLine="480"/>
        <w:rPr>
          <w:rFonts w:asciiTheme="minorEastAsia" w:eastAsiaTheme="minorEastAsia" w:hAnsiTheme="minorEastAsia"/>
          <w:bCs/>
          <w:sz w:val="24"/>
        </w:rPr>
      </w:pPr>
      <w:r w:rsidRPr="00552058">
        <w:rPr>
          <w:rFonts w:asciiTheme="minorEastAsia" w:eastAsiaTheme="minorEastAsia" w:hAnsiTheme="minorEastAsia" w:hint="eastAsia"/>
          <w:bCs/>
          <w:sz w:val="24"/>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4A499FEB" w14:textId="100EBFD7" w:rsidR="009D164B" w:rsidRPr="0040323D" w:rsidRDefault="00AF3B6B" w:rsidP="00552058">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（三）基金托管人</w:t>
      </w:r>
      <w:bookmarkStart w:id="13" w:name="OLE_LINK1"/>
      <w:r w:rsidRPr="0040323D">
        <w:rPr>
          <w:rFonts w:asciiTheme="minorEastAsia" w:eastAsiaTheme="minorEastAsia" w:hAnsiTheme="minorEastAsia" w:cs="Arial" w:hint="eastAsia"/>
          <w:sz w:val="24"/>
        </w:rPr>
        <w:t>根据有关法律法规的规定及《基金合同》的约定，</w:t>
      </w:r>
      <w:bookmarkEnd w:id="13"/>
      <w:r w:rsidRPr="0040323D">
        <w:rPr>
          <w:rFonts w:asciiTheme="minorEastAsia" w:eastAsiaTheme="minorEastAsia" w:hAnsiTheme="minorEastAsia" w:cs="Arial" w:hint="eastAsia"/>
          <w:sz w:val="24"/>
        </w:rPr>
        <w:t>对本托管协议第十五条第（九）款基金投资禁止行为通过事后监督方式进行监督。</w:t>
      </w:r>
    </w:p>
    <w:p w14:paraId="0588E85F" w14:textId="3D8C4075" w:rsidR="009D164B" w:rsidRDefault="00C45392">
      <w:pPr>
        <w:adjustRightInd w:val="0"/>
        <w:snapToGrid w:val="0"/>
        <w:spacing w:before="240" w:after="240" w:line="276" w:lineRule="auto"/>
        <w:ind w:firstLineChars="200" w:firstLine="480"/>
        <w:rPr>
          <w:bCs/>
          <w:color w:val="000000"/>
          <w:sz w:val="24"/>
        </w:rPr>
      </w:pPr>
      <w:r w:rsidRPr="0018701E">
        <w:rPr>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w:t>
      </w:r>
      <w:r w:rsidRPr="0018701E">
        <w:rPr>
          <w:bCs/>
          <w:color w:val="000000"/>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Pr="0018701E">
        <w:rPr>
          <w:rFonts w:hint="eastAsia"/>
          <w:bCs/>
          <w:color w:val="000000"/>
          <w:sz w:val="24"/>
        </w:rPr>
        <w:t>（含三分之二）</w:t>
      </w:r>
      <w:r w:rsidRPr="0018701E">
        <w:rPr>
          <w:bCs/>
          <w:color w:val="000000"/>
          <w:sz w:val="24"/>
        </w:rPr>
        <w:t>的独立董事通过。基金管理人董事会应至少每半年对关联交易事项进行审查。</w:t>
      </w:r>
    </w:p>
    <w:p w14:paraId="48919348" w14:textId="628EAC28" w:rsidR="00453EA8" w:rsidRPr="0040323D" w:rsidRDefault="00453EA8">
      <w:pPr>
        <w:adjustRightInd w:val="0"/>
        <w:snapToGrid w:val="0"/>
        <w:spacing w:before="240" w:after="240" w:line="276" w:lineRule="auto"/>
        <w:ind w:firstLineChars="200" w:firstLine="480"/>
        <w:rPr>
          <w:rFonts w:asciiTheme="minorEastAsia" w:eastAsiaTheme="minorEastAsia" w:hAnsiTheme="minorEastAsia" w:cs="Arial"/>
          <w:bCs/>
          <w:sz w:val="24"/>
        </w:rPr>
      </w:pPr>
      <w:r w:rsidRPr="00453EA8">
        <w:rPr>
          <w:rFonts w:asciiTheme="minorEastAsia" w:eastAsiaTheme="minorEastAsia" w:hAnsiTheme="minorEastAsia" w:cs="Arial" w:hint="eastAsia"/>
          <w:bCs/>
          <w:sz w:val="24"/>
        </w:rPr>
        <w:t>本基金投资基金管理人或基金管理人关联方管理基金的情况，不属于前述重大关联交易，但是应当按照法律法规或监管规定的要求履行信息披露义务。</w:t>
      </w:r>
    </w:p>
    <w:p w14:paraId="70472A7F" w14:textId="1700AD3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bCs/>
          <w:sz w:val="24"/>
        </w:rPr>
      </w:pPr>
      <w:r w:rsidRPr="0040323D">
        <w:rPr>
          <w:rFonts w:asciiTheme="minorEastAsia" w:eastAsiaTheme="minorEastAsia" w:hAnsiTheme="minorEastAsia" w:cs="Arial" w:hint="eastAsia"/>
          <w:bCs/>
          <w:sz w:val="24"/>
        </w:rPr>
        <w:t>（四）</w:t>
      </w:r>
      <w:r w:rsidR="00C45392" w:rsidRPr="0018701E">
        <w:rPr>
          <w:rFonts w:hint="eastAsia"/>
          <w:bCs/>
          <w:color w:val="000000"/>
          <w:sz w:val="24"/>
        </w:rPr>
        <w:t>法律法规或监管部门对基金合同所述投资比例、投资限制、组合限制、禁止行为等</w:t>
      </w:r>
      <w:proofErr w:type="gramStart"/>
      <w:r w:rsidR="00C45392" w:rsidRPr="0018701E">
        <w:rPr>
          <w:rFonts w:hint="eastAsia"/>
          <w:bCs/>
          <w:color w:val="000000"/>
          <w:sz w:val="24"/>
        </w:rPr>
        <w:t>作出</w:t>
      </w:r>
      <w:proofErr w:type="gramEnd"/>
      <w:r w:rsidR="00C45392" w:rsidRPr="0018701E">
        <w:rPr>
          <w:rFonts w:hint="eastAsia"/>
          <w:bCs/>
          <w:color w:val="000000"/>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w:t>
      </w:r>
      <w:r w:rsidR="00222815">
        <w:rPr>
          <w:rFonts w:hint="eastAsia"/>
          <w:bCs/>
          <w:color w:val="000000"/>
          <w:sz w:val="24"/>
        </w:rPr>
        <w:t>并履行适当程序</w:t>
      </w:r>
      <w:r w:rsidR="00C45392" w:rsidRPr="0018701E">
        <w:rPr>
          <w:rFonts w:hint="eastAsia"/>
          <w:bCs/>
          <w:color w:val="000000"/>
          <w:sz w:val="24"/>
        </w:rPr>
        <w:t>后，可按照法律法规或监管部门调整或修改后的规定执行。</w:t>
      </w:r>
    </w:p>
    <w:p w14:paraId="2AA4B53C" w14:textId="1769F61A"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bookmarkStart w:id="14" w:name="资信：追偿？"/>
      <w:bookmarkEnd w:id="11"/>
      <w:bookmarkEnd w:id="12"/>
      <w:bookmarkEnd w:id="14"/>
      <w:r w:rsidRPr="00325A4F">
        <w:rPr>
          <w:rFonts w:asciiTheme="minorEastAsia" w:eastAsiaTheme="minorEastAsia" w:hAnsiTheme="minorEastAsia" w:cs="Arial"/>
          <w:color w:val="000000"/>
          <w:sz w:val="24"/>
        </w:rPr>
        <w:t>（</w:t>
      </w:r>
      <w:r w:rsidR="00817032">
        <w:rPr>
          <w:rFonts w:asciiTheme="minorEastAsia" w:eastAsiaTheme="minorEastAsia" w:hAnsiTheme="minorEastAsia" w:cs="Arial" w:hint="eastAsia"/>
          <w:color w:val="000000"/>
          <w:sz w:val="24"/>
        </w:rPr>
        <w:t>五</w:t>
      </w:r>
      <w:r w:rsidRPr="00325A4F">
        <w:rPr>
          <w:rFonts w:asciiTheme="minorEastAsia" w:eastAsiaTheme="minorEastAsia" w:hAnsiTheme="minorEastAsia" w:cs="Arial"/>
          <w:color w:val="000000"/>
          <w:sz w:val="24"/>
        </w:rPr>
        <w:t>）基金托管人根据有关法律法规的规定及《基金合同》的约定，对基金管理人投资流通受限证券进行监督。</w:t>
      </w:r>
    </w:p>
    <w:p w14:paraId="0BC99A4A" w14:textId="5712F379"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5030B40A" w14:textId="71980D50"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1、本基金投资的流通受限证券</w:t>
      </w:r>
      <w:r w:rsidR="004B4A39" w:rsidRPr="004B4A39">
        <w:rPr>
          <w:rFonts w:asciiTheme="minorEastAsia" w:eastAsiaTheme="minorEastAsia" w:hAnsiTheme="minorEastAsia" w:cs="Arial" w:hint="eastAsia"/>
          <w:color w:val="000000"/>
          <w:sz w:val="24"/>
        </w:rPr>
        <w:t>与上文所述的流动性受限资产并不完全一致，</w:t>
      </w:r>
      <w:r w:rsidRPr="00325A4F">
        <w:rPr>
          <w:rFonts w:asciiTheme="minorEastAsia" w:eastAsiaTheme="minorEastAsia" w:hAnsiTheme="minorEastAsia" w:cs="Arial"/>
          <w:color w:val="000000"/>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w:t>
      </w:r>
      <w:r w:rsidR="009E5A10" w:rsidRPr="009E5A10">
        <w:rPr>
          <w:rFonts w:asciiTheme="minorEastAsia" w:eastAsiaTheme="minorEastAsia" w:hAnsiTheme="minorEastAsia" w:cs="Arial" w:hint="eastAsia"/>
          <w:color w:val="000000"/>
          <w:sz w:val="24"/>
        </w:rPr>
        <w:t>本基金不投资有锁定期但锁定期不明确的证券。</w:t>
      </w:r>
    </w:p>
    <w:p w14:paraId="7777D572" w14:textId="77777777"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4B44733F" w14:textId="77777777"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本基金投资的流通受限证券应保证登记存管在本基金名下，基金管理人负责相关工作的落实和协调，并确保基金托管人能够正常查询。因基金管理人过错产生的流通受限证券登记存管问题，造成基金托管人无法安全保管本基金资产的责任与损失，及因流通受限证券存管直接影响本基金安全的责任及损失，由基金管理人承担。</w:t>
      </w:r>
    </w:p>
    <w:p w14:paraId="2DAF7797" w14:textId="77777777"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本基金投资流通受限证券，不得预付任何形式的保证金，监管机构另有规定的从其规定。</w:t>
      </w:r>
    </w:p>
    <w:p w14:paraId="6E057C7D" w14:textId="0D13535C"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2、基金管理人投资非公开发行股票，应制订流动性风险处置预案并经其董事</w:t>
      </w:r>
      <w:r w:rsidRPr="00325A4F">
        <w:rPr>
          <w:rFonts w:asciiTheme="minorEastAsia" w:eastAsiaTheme="minorEastAsia" w:hAnsiTheme="minorEastAsia" w:cs="Arial"/>
          <w:color w:val="000000"/>
          <w:sz w:val="24"/>
        </w:rPr>
        <w:lastRenderedPageBreak/>
        <w:t>会批准。风险处置预案应包括但不限于因投资流通受限证券需要解决的基金投资比例限制失调、基金流动性困难以及相关损失的应对解决措施，以及有关异常情况的处置。</w:t>
      </w:r>
    </w:p>
    <w:p w14:paraId="6385B939" w14:textId="1E7BB044"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004B4A39" w:rsidRPr="004B4A39">
        <w:rPr>
          <w:rFonts w:asciiTheme="minorEastAsia" w:eastAsiaTheme="minorEastAsia" w:hAnsiTheme="minorEastAsia" w:cs="Arial" w:hint="eastAsia"/>
          <w:color w:val="000000"/>
          <w:sz w:val="24"/>
        </w:rPr>
        <w:t>应按照法律法规和基金合同的规定处理并承担相应责任。对本基金因投资流通受限证券导致的流动性风险，基金托管人不承担任何责任。</w:t>
      </w:r>
      <w:r w:rsidRPr="00325A4F">
        <w:rPr>
          <w:rFonts w:asciiTheme="minorEastAsia" w:eastAsiaTheme="minorEastAsia" w:hAnsiTheme="minorEastAsia" w:cs="Arial"/>
          <w:color w:val="000000"/>
          <w:sz w:val="24"/>
        </w:rPr>
        <w:t>如因基金管理人原因导致本基金出现损失致使基金托管人承担连带赔偿责任的，基金管理人应赔偿基金托管人由此遭受的损失。</w:t>
      </w:r>
    </w:p>
    <w:p w14:paraId="1C1FBC9D" w14:textId="77777777"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893A503" w14:textId="343C3464"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（1）</w:t>
      </w:r>
      <w:r w:rsidRPr="00325A4F">
        <w:rPr>
          <w:rFonts w:asciiTheme="minorEastAsia" w:eastAsiaTheme="minorEastAsia" w:hAnsiTheme="minorEastAsia" w:cs="Arial"/>
          <w:color w:val="000000"/>
          <w:sz w:val="24"/>
        </w:rPr>
        <w:t>中国证监会批准发行非公开发行股票的批准文件。</w:t>
      </w:r>
    </w:p>
    <w:p w14:paraId="38A73A3B" w14:textId="42941991"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（2）</w:t>
      </w:r>
      <w:r w:rsidRPr="00325A4F">
        <w:rPr>
          <w:rFonts w:asciiTheme="minorEastAsia" w:eastAsiaTheme="minorEastAsia" w:hAnsiTheme="minorEastAsia" w:cs="Arial"/>
          <w:color w:val="000000"/>
          <w:sz w:val="24"/>
        </w:rPr>
        <w:t>非公开发行股票有关发行数量、发行价格、锁定期等发行资料。</w:t>
      </w:r>
    </w:p>
    <w:p w14:paraId="6F560F34" w14:textId="6845C31D"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（4）</w:t>
      </w:r>
      <w:r w:rsidRPr="00325A4F">
        <w:rPr>
          <w:rFonts w:asciiTheme="minorEastAsia" w:eastAsiaTheme="minorEastAsia" w:hAnsiTheme="minorEastAsia" w:cs="Arial"/>
          <w:color w:val="000000"/>
          <w:sz w:val="24"/>
        </w:rPr>
        <w:t>基金拟认购的数量、价格、总成本、账面价值。</w:t>
      </w:r>
    </w:p>
    <w:p w14:paraId="2A6B073A" w14:textId="77777777" w:rsidR="00325A4F" w:rsidRPr="00325A4F" w:rsidRDefault="00325A4F"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sidRPr="00325A4F">
        <w:rPr>
          <w:rFonts w:asciiTheme="minorEastAsia" w:eastAsiaTheme="minorEastAsia" w:hAnsiTheme="minorEastAsia" w:cs="Arial"/>
          <w:color w:val="000000"/>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1C526B89" w14:textId="264C52FA" w:rsidR="00325A4F" w:rsidRPr="00325A4F" w:rsidRDefault="005A6EFC" w:rsidP="00325A4F">
      <w:pPr>
        <w:adjustRightInd w:val="0"/>
        <w:snapToGrid w:val="0"/>
        <w:spacing w:before="240" w:after="240" w:line="276" w:lineRule="auto"/>
        <w:ind w:firstLineChars="200" w:firstLine="480"/>
        <w:rPr>
          <w:rFonts w:asciiTheme="minorEastAsia" w:eastAsiaTheme="minorEastAsia" w:hAnsiTheme="minorEastAsia" w:cs="Arial"/>
          <w:color w:val="000000"/>
          <w:sz w:val="24"/>
        </w:rPr>
      </w:pPr>
      <w:r>
        <w:rPr>
          <w:rFonts w:asciiTheme="minorEastAsia" w:eastAsiaTheme="minorEastAsia" w:hAnsiTheme="minorEastAsia" w:cs="Arial"/>
          <w:color w:val="000000"/>
          <w:sz w:val="24"/>
        </w:rPr>
        <w:t>5</w:t>
      </w:r>
      <w:r w:rsidR="00325A4F" w:rsidRPr="00325A4F">
        <w:rPr>
          <w:rFonts w:asciiTheme="minorEastAsia" w:eastAsiaTheme="minorEastAsia" w:hAnsiTheme="minorEastAsia" w:cs="Arial"/>
          <w:color w:val="000000"/>
          <w:sz w:val="24"/>
        </w:rPr>
        <w:t>、相关法律法规对基金投资流通受限证券有新规定的，从其规定。</w:t>
      </w:r>
    </w:p>
    <w:p w14:paraId="7A0F823E" w14:textId="59180F6B"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color w:val="000000"/>
          <w:sz w:val="24"/>
        </w:rPr>
        <w:t>（</w:t>
      </w:r>
      <w:r w:rsidR="00817032">
        <w:rPr>
          <w:rFonts w:asciiTheme="minorEastAsia" w:eastAsiaTheme="minorEastAsia" w:hAnsiTheme="minorEastAsia" w:cs="Arial" w:hint="eastAsia"/>
          <w:color w:val="000000"/>
          <w:sz w:val="24"/>
        </w:rPr>
        <w:t>六</w:t>
      </w:r>
      <w:r w:rsidRPr="0040323D">
        <w:rPr>
          <w:rFonts w:asciiTheme="minorEastAsia" w:eastAsiaTheme="minorEastAsia" w:hAnsiTheme="minorEastAsia" w:cs="Arial" w:hint="eastAsia"/>
          <w:color w:val="000000"/>
          <w:sz w:val="24"/>
        </w:rPr>
        <w:t>）</w:t>
      </w:r>
      <w:r w:rsidRPr="0040323D">
        <w:rPr>
          <w:rFonts w:asciiTheme="minorEastAsia" w:eastAsiaTheme="minorEastAsia" w:hAnsiTheme="minorEastAsia" w:cs="Arial" w:hint="eastAsia"/>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0048A6C" w14:textId="0B146A78"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00817032">
        <w:rPr>
          <w:rFonts w:asciiTheme="minorEastAsia" w:eastAsiaTheme="minorEastAsia" w:hAnsiTheme="minorEastAsia" w:cs="Arial" w:hint="eastAsia"/>
          <w:sz w:val="24"/>
        </w:rPr>
        <w:t>七</w:t>
      </w:r>
      <w:r w:rsidRPr="0040323D">
        <w:rPr>
          <w:rFonts w:asciiTheme="minorEastAsia" w:eastAsiaTheme="minorEastAsia" w:hAnsiTheme="minorEastAsia" w:cs="Arial" w:hint="eastAsia"/>
          <w:sz w:val="24"/>
        </w:rPr>
        <w:t>）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书面通知后应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4B7C0CC" w14:textId="5F0DCA7C"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lastRenderedPageBreak/>
        <w:t>（</w:t>
      </w:r>
      <w:r w:rsidR="00817032">
        <w:rPr>
          <w:rFonts w:asciiTheme="minorEastAsia" w:eastAsiaTheme="minorEastAsia" w:hAnsiTheme="minorEastAsia" w:cs="Arial" w:hint="eastAsia"/>
          <w:sz w:val="24"/>
        </w:rPr>
        <w:t>八</w:t>
      </w:r>
      <w:r w:rsidRPr="0040323D">
        <w:rPr>
          <w:rFonts w:asciiTheme="minorEastAsia" w:eastAsia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w:t>
      </w:r>
      <w:r w:rsidR="00297E93" w:rsidRPr="0040323D">
        <w:rPr>
          <w:rFonts w:asciiTheme="minorEastAsia" w:eastAsiaTheme="minorEastAsia" w:hAnsiTheme="minorEastAsia" w:cs="Arial" w:hint="eastAsia"/>
          <w:sz w:val="24"/>
        </w:rPr>
        <w:t>的</w:t>
      </w:r>
      <w:r w:rsidRPr="0040323D">
        <w:rPr>
          <w:rFonts w:asciiTheme="minorEastAsia" w:eastAsiaTheme="minorEastAsia" w:hAnsiTheme="minorEastAsia" w:cs="Arial" w:hint="eastAsia"/>
          <w:sz w:val="24"/>
        </w:rPr>
        <w:t>疑义进行解释或举证；对基金托管人按照法律法规、《基金合同》和本托管协议的要求需向中国证监会报送基金监督报告的事项，基金管理人应积极配合提供相关数据资料和制度等。</w:t>
      </w:r>
    </w:p>
    <w:p w14:paraId="686C2175" w14:textId="5C7B5B94"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00817032">
        <w:rPr>
          <w:rFonts w:asciiTheme="minorEastAsia" w:eastAsiaTheme="minorEastAsia" w:hAnsiTheme="minorEastAsia" w:cs="Arial" w:hint="eastAsia"/>
          <w:sz w:val="24"/>
        </w:rPr>
        <w:t>九</w:t>
      </w:r>
      <w:r w:rsidRPr="0040323D">
        <w:rPr>
          <w:rFonts w:asciiTheme="minorEastAsia" w:eastAsiaTheme="minorEastAsia" w:hAnsiTheme="minorEastAsia" w:cs="Arial" w:hint="eastAsia"/>
          <w:sz w:val="24"/>
        </w:rPr>
        <w:t>）</w:t>
      </w:r>
      <w:proofErr w:type="gramStart"/>
      <w:r w:rsidRPr="0040323D">
        <w:rPr>
          <w:rFonts w:asciiTheme="minorEastAsia" w:eastAsiaTheme="minorEastAsia" w:hAnsiTheme="minorEastAsia" w:cs="Arial" w:hint="eastAsia"/>
          <w:sz w:val="24"/>
        </w:rPr>
        <w:t>若基金</w:t>
      </w:r>
      <w:proofErr w:type="gramEnd"/>
      <w:r w:rsidRPr="0040323D">
        <w:rPr>
          <w:rFonts w:asciiTheme="minorEastAsia" w:eastAsiaTheme="minorEastAsia" w:hAnsiTheme="minorEastAsia" w:cs="Arial" w:hint="eastAsia"/>
          <w:sz w:val="24"/>
        </w:rPr>
        <w:t>托管人发现基金管理人依据交易程序已经生效的指令违反法律、行政法规和其他有关规定，或者违反《基金合同》约定的，应当立即通知基金管理人，由此造成的损失</w:t>
      </w:r>
      <w:r w:rsidR="00DF6111">
        <w:rPr>
          <w:rFonts w:asciiTheme="minorEastAsia" w:eastAsiaTheme="minorEastAsia" w:hAnsiTheme="minorEastAsia" w:cs="Arial" w:hint="eastAsia"/>
          <w:sz w:val="24"/>
        </w:rPr>
        <w:t>由基金管理人承担</w:t>
      </w:r>
      <w:r w:rsidRPr="0040323D">
        <w:rPr>
          <w:rFonts w:asciiTheme="minorEastAsia" w:eastAsiaTheme="minorEastAsia" w:hAnsiTheme="minorEastAsia" w:cs="Arial" w:hint="eastAsia"/>
          <w:sz w:val="24"/>
        </w:rPr>
        <w:t>。</w:t>
      </w:r>
    </w:p>
    <w:p w14:paraId="174C6D0F" w14:textId="42047B09"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00817032">
        <w:rPr>
          <w:rFonts w:asciiTheme="minorEastAsia" w:eastAsiaTheme="minorEastAsia" w:hAnsiTheme="minorEastAsia" w:cs="Arial" w:hint="eastAsia"/>
          <w:sz w:val="24"/>
        </w:rPr>
        <w:t>十</w:t>
      </w:r>
      <w:r w:rsidRPr="0040323D">
        <w:rPr>
          <w:rFonts w:asciiTheme="minorEastAsia" w:eastAsiaTheme="minorEastAsia" w:hAnsiTheme="minorEastAsia" w:cs="Arial" w:hint="eastAsia"/>
          <w:sz w:val="24"/>
        </w:rPr>
        <w:t>）基金托管人发现基金管理人有重大违规行为，应及时报告中国证监会，同时通知基金管理人限期纠正，并将纠正结果报告中国证监会。基金管理人无正当理由，拒绝、阻挠</w:t>
      </w:r>
      <w:r w:rsidRPr="0040323D">
        <w:rPr>
          <w:rFonts w:asciiTheme="minorEastAsia" w:eastAsiaTheme="minorEastAsia" w:hAnsiTheme="minorEastAsia" w:cs="Arial"/>
          <w:sz w:val="24"/>
        </w:rPr>
        <w:t>对方</w:t>
      </w:r>
      <w:r w:rsidRPr="0040323D">
        <w:rPr>
          <w:rFonts w:asciiTheme="minorEastAsia" w:eastAsiaTheme="minorEastAsia" w:hAnsiTheme="minorEastAsia" w:cs="Arial" w:hint="eastAsia"/>
          <w:sz w:val="24"/>
        </w:rPr>
        <w:t>根据本托管协议规定行使监督权，或采取拖延、欺诈等手段妨碍对方进行有效监督，情节严重或经基金托管人提出警告仍不改正的，基金托管人应报告中国证监会。</w:t>
      </w:r>
    </w:p>
    <w:p w14:paraId="6A008CF9" w14:textId="74167E3B"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bCs/>
          <w:sz w:val="24"/>
        </w:rPr>
      </w:pPr>
      <w:r w:rsidRPr="0040323D">
        <w:rPr>
          <w:rFonts w:asciiTheme="minorEastAsia" w:eastAsiaTheme="minorEastAsia" w:hAnsiTheme="minorEastAsia" w:cs="Arial" w:hint="eastAsia"/>
          <w:sz w:val="24"/>
        </w:rPr>
        <w:t>（</w:t>
      </w:r>
      <w:r w:rsidR="00817032">
        <w:rPr>
          <w:rFonts w:asciiTheme="minorEastAsia" w:eastAsiaTheme="minorEastAsia" w:hAnsiTheme="minorEastAsia" w:cs="Arial" w:hint="eastAsia"/>
          <w:sz w:val="24"/>
        </w:rPr>
        <w:t>十一</w:t>
      </w:r>
      <w:r w:rsidRPr="0040323D">
        <w:rPr>
          <w:rFonts w:asciiTheme="minorEastAsia" w:eastAsiaTheme="minorEastAsia" w:hAnsiTheme="minorEastAsia" w:cs="Arial" w:hint="eastAsia"/>
          <w:sz w:val="24"/>
        </w:rPr>
        <w:t>）</w:t>
      </w:r>
      <w:r w:rsidRPr="0040323D">
        <w:rPr>
          <w:rFonts w:asciiTheme="minorEastAsia" w:eastAsiaTheme="minorEastAsia" w:hAnsiTheme="minorEastAsia"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0323D">
        <w:rPr>
          <w:rFonts w:asciiTheme="minorEastAsia" w:eastAsiaTheme="minorEastAsia" w:hAnsiTheme="minorEastAsia" w:hint="eastAsia"/>
          <w:bCs/>
          <w:sz w:val="24"/>
        </w:rPr>
        <w:t>启用侧袋机制</w:t>
      </w:r>
      <w:proofErr w:type="gramEnd"/>
      <w:r w:rsidRPr="0040323D">
        <w:rPr>
          <w:rFonts w:asciiTheme="minorEastAsia" w:eastAsiaTheme="minorEastAsia" w:hAnsiTheme="minorEastAsia" w:hint="eastAsia"/>
          <w:bCs/>
          <w:sz w:val="24"/>
        </w:rPr>
        <w:t>。</w:t>
      </w:r>
    </w:p>
    <w:p w14:paraId="322D12F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bCs/>
          <w:sz w:val="24"/>
        </w:rPr>
      </w:pPr>
      <w:r w:rsidRPr="0040323D">
        <w:rPr>
          <w:rFonts w:asciiTheme="minorEastAsia" w:eastAsiaTheme="minorEastAsia" w:hAnsiTheme="minorEastAsia" w:hint="eastAsia"/>
          <w:bCs/>
          <w:sz w:val="24"/>
        </w:rPr>
        <w:t>侧袋机制实施期间，基金合同约定的投资组合比例、投资策略、组合限制、业绩比较基准、风险收益特征等约定仅适用于主袋账户。</w:t>
      </w:r>
    </w:p>
    <w:p w14:paraId="063D2D6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bCs/>
          <w:sz w:val="24"/>
        </w:rPr>
      </w:pPr>
      <w:r w:rsidRPr="0040323D">
        <w:rPr>
          <w:rFonts w:asciiTheme="minorEastAsia" w:eastAsiaTheme="minorEastAsia" w:hAnsiTheme="minorEastAsia" w:hint="eastAsia"/>
          <w:bCs/>
          <w:sz w:val="24"/>
        </w:rPr>
        <w:t>侧袋账户的实施条件、实施程序、运作安排、投资安排、特定资产的处置变现和支付等对投资者权益有重大影响的事项详见招募说明书的规定。</w:t>
      </w:r>
    </w:p>
    <w:p w14:paraId="6BFEAD5A" w14:textId="77777777" w:rsidR="009D164B" w:rsidRPr="0040323D" w:rsidRDefault="009D164B">
      <w:pPr>
        <w:spacing w:before="240" w:after="240" w:line="276" w:lineRule="auto"/>
        <w:rPr>
          <w:rFonts w:asciiTheme="minorEastAsia" w:eastAsiaTheme="minorEastAsia" w:hAnsiTheme="minorEastAsia"/>
          <w:sz w:val="24"/>
        </w:rPr>
      </w:pPr>
    </w:p>
    <w:p w14:paraId="244D342F"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5" w:name="_Toc118212950"/>
      <w:bookmarkStart w:id="16" w:name="_Toc120435783"/>
      <w:bookmarkStart w:id="17" w:name="_Toc86223242"/>
      <w:bookmarkStart w:id="18" w:name="_Toc89163368"/>
      <w:bookmarkStart w:id="19" w:name="_Toc86737929"/>
      <w:bookmarkStart w:id="20" w:name="_Toc118774803"/>
      <w:bookmarkStart w:id="21" w:name="_Toc86726439"/>
      <w:bookmarkStart w:id="22" w:name="_Toc108512358"/>
      <w:bookmarkStart w:id="23" w:name="_Toc124325888"/>
      <w:bookmarkStart w:id="24" w:name="_Toc110761796"/>
      <w:bookmarkStart w:id="25" w:name="_Toc110765660"/>
      <w:bookmarkStart w:id="26" w:name="_Toc118972648"/>
      <w:bookmarkStart w:id="27" w:name="_Toc86649722"/>
      <w:bookmarkStart w:id="28" w:name="_Toc86225291"/>
      <w:bookmarkStart w:id="29" w:name="_Toc119402710"/>
      <w:bookmarkStart w:id="30" w:name="_Toc86727355"/>
      <w:bookmarkStart w:id="31" w:name="_Toc110830492"/>
      <w:r w:rsidRPr="0040323D">
        <w:rPr>
          <w:rFonts w:asciiTheme="minorEastAsia" w:eastAsiaTheme="minorEastAsia" w:hAnsiTheme="minorEastAsia" w:hint="eastAsia"/>
          <w:sz w:val="30"/>
        </w:rPr>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0D7A480"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2BCE8989"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w:t>
      </w:r>
      <w:r w:rsidRPr="0040323D">
        <w:rPr>
          <w:rFonts w:asciiTheme="minorEastAsia" w:eastAsiaTheme="minorEastAsia" w:hAnsiTheme="minorEastAsia" w:cs="Arial"/>
          <w:sz w:val="24"/>
        </w:rPr>
        <w:t>以书面形式</w:t>
      </w:r>
      <w:r w:rsidRPr="0040323D">
        <w:rPr>
          <w:rFonts w:asciiTheme="minorEastAsia" w:eastAsiaTheme="minorEastAsia" w:hAnsiTheme="minorEastAsia" w:cs="Arial" w:hint="eastAsia"/>
          <w:sz w:val="24"/>
        </w:rPr>
        <w:t>通知基金托管人限期纠正。基金托管人收到通知后</w:t>
      </w:r>
      <w:r w:rsidRPr="0040323D">
        <w:rPr>
          <w:rFonts w:asciiTheme="minorEastAsia" w:eastAsiaTheme="minorEastAsia" w:hAnsiTheme="minorEastAsia" w:cs="Arial"/>
          <w:sz w:val="24"/>
        </w:rPr>
        <w:t>应及时</w:t>
      </w:r>
      <w:r w:rsidRPr="0040323D">
        <w:rPr>
          <w:rFonts w:asciiTheme="minorEastAsia" w:eastAsiaTheme="minorEastAsia" w:hAnsiTheme="minorEastAsia" w:cs="Arial" w:hint="eastAsia"/>
          <w:sz w:val="24"/>
        </w:rPr>
        <w:t>核对并以书面形式给基金管理人发出回函，说明违规原因及纠正期限，并保证在规定期限内及时改正。在上述规定期限内，基金管理人有权随时对通知事项进行复查，督促基金托管人改正。基金托</w:t>
      </w:r>
      <w:r w:rsidRPr="0040323D">
        <w:rPr>
          <w:rFonts w:asciiTheme="minorEastAsia" w:eastAsiaTheme="minorEastAsia" w:hAnsiTheme="minorEastAsia" w:cs="Arial" w:hint="eastAsia"/>
          <w:sz w:val="24"/>
        </w:rPr>
        <w:lastRenderedPageBreak/>
        <w:t>管人应积极配合基金管理人的核查行为，包括但不限于：提交相关资料以供基金管理人核查托管财产的完整性和真实性，在规定时间内答复基金管理人并改正。</w:t>
      </w:r>
    </w:p>
    <w:p w14:paraId="2D7F07BD"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58B59F" w14:textId="77777777" w:rsidR="009D164B" w:rsidRPr="0040323D" w:rsidRDefault="009D164B">
      <w:pPr>
        <w:spacing w:before="240" w:after="240" w:line="276" w:lineRule="auto"/>
        <w:rPr>
          <w:rFonts w:asciiTheme="minorEastAsia" w:eastAsiaTheme="minorEastAsia" w:hAnsiTheme="minorEastAsia"/>
          <w:sz w:val="24"/>
        </w:rPr>
      </w:pPr>
    </w:p>
    <w:p w14:paraId="4F3C9E68"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32" w:name="_Toc86727356"/>
      <w:bookmarkStart w:id="33" w:name="_Toc119402711"/>
      <w:bookmarkStart w:id="34" w:name="_Toc108512359"/>
      <w:bookmarkStart w:id="35" w:name="_Toc118972649"/>
      <w:bookmarkStart w:id="36" w:name="_Toc89163369"/>
      <w:bookmarkStart w:id="37" w:name="_Toc110830493"/>
      <w:bookmarkStart w:id="38" w:name="_Toc86737930"/>
      <w:bookmarkStart w:id="39" w:name="_Toc84234435"/>
      <w:bookmarkStart w:id="40" w:name="_Toc110761797"/>
      <w:bookmarkStart w:id="41" w:name="_Toc86225292"/>
      <w:bookmarkStart w:id="42" w:name="_Toc118774804"/>
      <w:bookmarkStart w:id="43" w:name="_Toc86223243"/>
      <w:bookmarkStart w:id="44" w:name="_Toc120435784"/>
      <w:bookmarkStart w:id="45" w:name="_Toc86204789"/>
      <w:bookmarkStart w:id="46" w:name="_Toc124325889"/>
      <w:bookmarkStart w:id="47" w:name="_Toc118212951"/>
      <w:bookmarkStart w:id="48" w:name="_Toc86649723"/>
      <w:bookmarkStart w:id="49" w:name="_Toc84133786"/>
      <w:bookmarkStart w:id="50" w:name="_Toc110765661"/>
      <w:bookmarkStart w:id="51" w:name="_Toc84234388"/>
      <w:bookmarkStart w:id="52" w:name="_Toc86726440"/>
      <w:r w:rsidRPr="0040323D">
        <w:rPr>
          <w:rFonts w:asciiTheme="minorEastAsia" w:eastAsiaTheme="minorEastAsia" w:hAnsiTheme="minorEastAsia" w:hint="eastAsia"/>
          <w:sz w:val="30"/>
        </w:rPr>
        <w:t>五、基金财产的保管</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395C92E"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（一）基金财产保管的原则</w:t>
      </w:r>
    </w:p>
    <w:p w14:paraId="0453DBE8"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1.基金财产应独立于基金管理人、基金托管人的固有财产。</w:t>
      </w:r>
    </w:p>
    <w:p w14:paraId="2027FFDE"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2.基金托管人应安全保管基金财产。</w:t>
      </w:r>
    </w:p>
    <w:p w14:paraId="398F9E0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3.基金托管人按照规定开设基金财产的资金账户和证券账户等投资所需账户。</w:t>
      </w:r>
    </w:p>
    <w:p w14:paraId="55AF0741"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4.基金托管人对所托管的不同基金财产分别设置账户，分账管理，独立核算，确保基金财产的完整与独立。</w:t>
      </w:r>
    </w:p>
    <w:p w14:paraId="36B61AB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5.基金托管人按照《基金合同》和本协议的约定保管基金财产，如有特殊情况双方可另行协商解决。基金</w:t>
      </w:r>
      <w:r w:rsidRPr="0040323D">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032C7B23" w14:textId="6EB695B0"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2A330F">
        <w:rPr>
          <w:rFonts w:asciiTheme="minorEastAsia" w:eastAsiaTheme="minorEastAsia" w:hAnsiTheme="minorEastAsia" w:cs="Arial" w:hint="eastAsia"/>
          <w:sz w:val="24"/>
        </w:rPr>
        <w:t>。</w:t>
      </w:r>
    </w:p>
    <w:p w14:paraId="5C7CA336"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7.除依据法律法规和《基金合同》的规定外，基金托管人不得委托第三人托管基金财产。</w:t>
      </w:r>
    </w:p>
    <w:p w14:paraId="348E42F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（二）基金募集期间及募集资金的验资</w:t>
      </w:r>
    </w:p>
    <w:p w14:paraId="50AC8B66"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1.基金募集期间募集的资金应存于基金管理人在基金托管人的营业机构开立的“基金募集专户”。该账户由基金管理人开立并管理。</w:t>
      </w:r>
    </w:p>
    <w:p w14:paraId="066C9755" w14:textId="02A05B6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lastRenderedPageBreak/>
        <w:t>2.</w:t>
      </w:r>
      <w:r w:rsidRPr="0040323D">
        <w:rPr>
          <w:rFonts w:asciiTheme="minorEastAsia" w:eastAsiaTheme="minorEastAsia" w:hAnsiTheme="minorEastAsia"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w:t>
      </w:r>
      <w:r w:rsidRPr="0040323D">
        <w:rPr>
          <w:rFonts w:asciiTheme="minorEastAsia" w:eastAsiaTheme="minorEastAsia" w:hAnsiTheme="minorEastAsia" w:cs="Arial"/>
          <w:sz w:val="24"/>
        </w:rPr>
        <w:t>2名或2名以上中国注册会计师签字方为有效。</w:t>
      </w:r>
    </w:p>
    <w:p w14:paraId="1AB86818" w14:textId="6D996530"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3.</w:t>
      </w:r>
      <w:proofErr w:type="gramStart"/>
      <w:r w:rsidRPr="0040323D">
        <w:rPr>
          <w:rFonts w:asciiTheme="minorEastAsia" w:eastAsiaTheme="minorEastAsia" w:hAnsiTheme="minorEastAsia" w:cs="Arial" w:hint="eastAsia"/>
          <w:sz w:val="24"/>
        </w:rPr>
        <w:t>若基金</w:t>
      </w:r>
      <w:proofErr w:type="gramEnd"/>
      <w:r w:rsidRPr="0040323D">
        <w:rPr>
          <w:rFonts w:asciiTheme="minorEastAsia" w:eastAsiaTheme="minorEastAsia" w:hAnsiTheme="minorEastAsia" w:cs="Arial" w:hint="eastAsia"/>
          <w:sz w:val="24"/>
        </w:rPr>
        <w:t>募集期限届满，未能达到《基金合同》生效的条件，由基金管理人按规定办理退款等事宜。</w:t>
      </w:r>
    </w:p>
    <w:p w14:paraId="2F7E207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（三）基金银行账户的开立和管理</w:t>
      </w:r>
    </w:p>
    <w:p w14:paraId="14B0FEA1"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1.基金托管人可以基金的名义在其营业机构开立基金的银行账户，并根据基金管理人合法合</w:t>
      </w:r>
      <w:r w:rsidRPr="0040323D">
        <w:rPr>
          <w:rFonts w:asciiTheme="minorEastAsia" w:eastAsiaTheme="minorEastAsia" w:hAnsiTheme="minorEastAsia" w:cs="Arial" w:hint="eastAsia"/>
          <w:sz w:val="24"/>
        </w:rPr>
        <w:t>规的指令办理资金收付。本基金的银行预留印鉴由基金托管人保管和使用。</w:t>
      </w:r>
    </w:p>
    <w:p w14:paraId="65252833"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D8411D4" w14:textId="05B73090"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3.基金银行账户的开立和管理应符合</w:t>
      </w:r>
      <w:r w:rsidR="00565002">
        <w:rPr>
          <w:rFonts w:asciiTheme="minorEastAsia" w:eastAsiaTheme="minorEastAsia" w:hAnsiTheme="minorEastAsia" w:cs="Arial" w:hint="eastAsia"/>
          <w:sz w:val="24"/>
        </w:rPr>
        <w:t>法律法规和</w:t>
      </w:r>
      <w:r w:rsidRPr="0040323D">
        <w:rPr>
          <w:rFonts w:asciiTheme="minorEastAsia" w:eastAsiaTheme="minorEastAsia" w:hAnsiTheme="minorEastAsia" w:cs="Arial"/>
          <w:sz w:val="24"/>
        </w:rPr>
        <w:t>银行业监督管理机构的有关规定。</w:t>
      </w:r>
    </w:p>
    <w:p w14:paraId="2EACE209"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4.在符合法律法规规定的条件下，基金托管人可以通过基金托管人专用账户办理基金资产的支付。</w:t>
      </w:r>
    </w:p>
    <w:p w14:paraId="39683BF3" w14:textId="30CBE424"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5.管理人应于</w:t>
      </w:r>
      <w:r w:rsidR="002764F3">
        <w:rPr>
          <w:rFonts w:asciiTheme="minorEastAsia" w:eastAsiaTheme="minorEastAsia" w:hAnsiTheme="minorEastAsia" w:cs="Arial" w:hint="eastAsia"/>
          <w:sz w:val="24"/>
        </w:rPr>
        <w:t>本基金</w:t>
      </w:r>
      <w:r w:rsidRPr="0040323D">
        <w:rPr>
          <w:rFonts w:asciiTheme="minorEastAsia" w:eastAsiaTheme="minorEastAsia" w:hAnsiTheme="minorEastAsia" w:cs="Arial"/>
          <w:sz w:val="24"/>
        </w:rPr>
        <w:t>到期后及时完成收益兑付、费用结清及其他应收应付款项资金划转，在确保后续不再发生款项进出后的10个工作日内向托管人发出销户申请。</w:t>
      </w:r>
    </w:p>
    <w:p w14:paraId="6ED0BA7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（四）基金证券账户和结算备付金账户的开立和管理</w:t>
      </w:r>
    </w:p>
    <w:p w14:paraId="588E0AE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1.基金托管人在中国证券登记结算有限责任公司为基金开立基金托管人与基金联名的证券账户。</w:t>
      </w:r>
    </w:p>
    <w:p w14:paraId="5C44DEB6" w14:textId="18FBFCBE"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2.基金证券账户的开立和使用，仅限于满足开展本基金业务的需要。基金托管人和基金管理人不得出借或未经对方</w:t>
      </w:r>
      <w:r w:rsidR="007D389D">
        <w:rPr>
          <w:rFonts w:asciiTheme="minorEastAsia" w:eastAsiaTheme="minorEastAsia" w:hAnsiTheme="minorEastAsia" w:cs="Arial" w:hint="eastAsia"/>
          <w:sz w:val="24"/>
        </w:rPr>
        <w:t>书面</w:t>
      </w:r>
      <w:r w:rsidRPr="0040323D">
        <w:rPr>
          <w:rFonts w:asciiTheme="minorEastAsia" w:eastAsiaTheme="minorEastAsia" w:hAnsiTheme="minorEastAsia" w:cs="Arial"/>
          <w:sz w:val="24"/>
        </w:rPr>
        <w:t>同意擅自转让基金的任何证券账户，亦不得使用基金的任何账户进行本基金业务以外的活动。</w:t>
      </w:r>
    </w:p>
    <w:p w14:paraId="5920DF0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3.基金证券账户的开立和证券账户卡的保管由基金托管人负责，账户资产的管理和运用由基金管理人负责。</w:t>
      </w:r>
    </w:p>
    <w:p w14:paraId="5D1A0E5A" w14:textId="161BB954"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证券账户开户费由基金管理人先行垫付，</w:t>
      </w:r>
      <w:proofErr w:type="gramStart"/>
      <w:r w:rsidRPr="0040323D">
        <w:rPr>
          <w:rFonts w:asciiTheme="minorEastAsia" w:eastAsiaTheme="minorEastAsia" w:hAnsiTheme="minorEastAsia" w:cs="Arial" w:hint="eastAsia"/>
          <w:sz w:val="24"/>
        </w:rPr>
        <w:t>待</w:t>
      </w:r>
      <w:r w:rsidR="002764F3">
        <w:rPr>
          <w:rFonts w:asciiTheme="minorEastAsia" w:eastAsiaTheme="minorEastAsia" w:hAnsiTheme="minorEastAsia" w:cs="Arial" w:hint="eastAsia"/>
          <w:sz w:val="24"/>
        </w:rPr>
        <w:t>本基金</w:t>
      </w:r>
      <w:proofErr w:type="gramEnd"/>
      <w:r w:rsidRPr="0040323D">
        <w:rPr>
          <w:rFonts w:asciiTheme="minorEastAsia" w:eastAsiaTheme="minorEastAsia" w:hAnsiTheme="minorEastAsia" w:cs="Arial" w:hint="eastAsia"/>
          <w:sz w:val="24"/>
        </w:rPr>
        <w:t>开始运营后，基金管理人可向基金托管人发送划款指令，将代垫开户费从本基金托管资金账户中扣还基金管</w:t>
      </w:r>
      <w:r w:rsidRPr="0040323D">
        <w:rPr>
          <w:rFonts w:asciiTheme="minorEastAsia" w:eastAsiaTheme="minorEastAsia" w:hAnsiTheme="minorEastAsia" w:cs="Arial" w:hint="eastAsia"/>
          <w:sz w:val="24"/>
        </w:rPr>
        <w:lastRenderedPageBreak/>
        <w:t>理人。</w:t>
      </w:r>
    </w:p>
    <w:p w14:paraId="4BA56C9C"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r w:rsidRPr="0040323D">
        <w:rPr>
          <w:rFonts w:asciiTheme="minorEastAsia" w:eastAsiaTheme="minorEastAsia" w:hAnsiTheme="minorEastAsia" w:cs="Arial" w:hint="eastAsia"/>
          <w:sz w:val="24"/>
        </w:rPr>
        <w:t>收资金等的收取按照中国证券登记结算有限责任公司的规定以及基金管理人与基金托管人签署的《托管银行证券资金结算协议》执行。</w:t>
      </w:r>
    </w:p>
    <w:p w14:paraId="71555354"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5.账户注销时，由基金管理人依据中国证券登记结算有限责任公司相关规定，委托有交易关系的证券公司负责办理。销户完成后，基金管理人需将相关证明提供至基金托管人。账户注销期间如</w:t>
      </w:r>
      <w:r w:rsidRPr="0040323D">
        <w:rPr>
          <w:rFonts w:asciiTheme="minorEastAsia" w:eastAsiaTheme="minorEastAsia" w:hAnsiTheme="minorEastAsia" w:cs="Arial" w:hint="eastAsia"/>
          <w:sz w:val="24"/>
        </w:rPr>
        <w:t>需基金托管人提供配合的，基金托管人应予以配合。</w:t>
      </w:r>
    </w:p>
    <w:p w14:paraId="716AB27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6.若中国证监会或其他监管机构在本托管协议订立日之后允许基金从事其他投资品种的投资业务，涉及相关账户的开立、使用的，若无相关规定，</w:t>
      </w:r>
      <w:r w:rsidRPr="0040323D">
        <w:rPr>
          <w:rFonts w:asciiTheme="minorEastAsia" w:eastAsiaTheme="minorEastAsia" w:hAnsiTheme="minorEastAsia" w:cs="Arial" w:hint="eastAsia"/>
          <w:sz w:val="24"/>
        </w:rPr>
        <w:t>则基金托管人比照上述关于账户开立、使用的规定执行。</w:t>
      </w:r>
    </w:p>
    <w:p w14:paraId="254DE0F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（五）债券托管账户的开设和管理</w:t>
      </w:r>
    </w:p>
    <w:p w14:paraId="37BD2EB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06EC5ED" w14:textId="77777777" w:rsidR="00453EA8" w:rsidRPr="00453EA8" w:rsidRDefault="00453EA8" w:rsidP="00453EA8">
      <w:pPr>
        <w:adjustRightInd w:val="0"/>
        <w:snapToGrid w:val="0"/>
        <w:spacing w:before="240" w:after="240" w:line="276"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（六）</w:t>
      </w:r>
      <w:r w:rsidRPr="00453EA8">
        <w:rPr>
          <w:rFonts w:asciiTheme="minorEastAsia" w:eastAsiaTheme="minorEastAsia" w:hAnsiTheme="minorEastAsia" w:cs="Arial" w:hint="eastAsia"/>
          <w:sz w:val="24"/>
        </w:rPr>
        <w:t>证券投资基金账户的开设和管理</w:t>
      </w:r>
    </w:p>
    <w:p w14:paraId="30F3F7C8" w14:textId="22A34855" w:rsidR="001F5B7D" w:rsidRPr="002F3E66" w:rsidRDefault="001F5B7D" w:rsidP="001F5B7D">
      <w:pPr>
        <w:adjustRightInd w:val="0"/>
        <w:snapToGrid w:val="0"/>
        <w:spacing w:before="240" w:after="240" w:line="276" w:lineRule="auto"/>
        <w:ind w:firstLineChars="200" w:firstLine="480"/>
        <w:rPr>
          <w:rFonts w:asciiTheme="minorEastAsia" w:eastAsiaTheme="minorEastAsia" w:hAnsiTheme="minorEastAsia" w:cs="Arial"/>
          <w:sz w:val="24"/>
        </w:rPr>
      </w:pPr>
      <w:r w:rsidRPr="002F3E66">
        <w:rPr>
          <w:rFonts w:asciiTheme="minorEastAsia" w:eastAsiaTheme="minorEastAsia" w:hAnsiTheme="minorEastAsia" w:cs="Arial" w:hint="eastAsia"/>
          <w:sz w:val="24"/>
        </w:rPr>
        <w:t>管理人选择通过机构投资者</w:t>
      </w:r>
      <w:proofErr w:type="gramStart"/>
      <w:r w:rsidRPr="002F3E66">
        <w:rPr>
          <w:rFonts w:asciiTheme="minorEastAsia" w:eastAsiaTheme="minorEastAsia" w:hAnsiTheme="minorEastAsia" w:cs="Arial" w:hint="eastAsia"/>
          <w:sz w:val="24"/>
        </w:rPr>
        <w:t>场外投资</w:t>
      </w:r>
      <w:proofErr w:type="gramEnd"/>
      <w:r w:rsidRPr="002F3E66">
        <w:rPr>
          <w:rFonts w:asciiTheme="minorEastAsia" w:eastAsiaTheme="minorEastAsia" w:hAnsiTheme="minorEastAsia" w:cs="Arial" w:hint="eastAsia"/>
          <w:sz w:val="24"/>
        </w:rPr>
        <w:t>业务平台（简称"FISP"）参与开放式基金投资的，应由</w:t>
      </w:r>
      <w:r w:rsidR="00624961">
        <w:rPr>
          <w:rFonts w:asciiTheme="minorEastAsia" w:eastAsiaTheme="minorEastAsia" w:hAnsiTheme="minorEastAsia" w:cs="Arial" w:hint="eastAsia"/>
          <w:sz w:val="24"/>
        </w:rPr>
        <w:t>基金</w:t>
      </w:r>
      <w:r w:rsidRPr="002F3E66">
        <w:rPr>
          <w:rFonts w:asciiTheme="minorEastAsia" w:eastAsiaTheme="minorEastAsia" w:hAnsiTheme="minorEastAsia" w:cs="Arial" w:hint="eastAsia"/>
          <w:sz w:val="24"/>
        </w:rPr>
        <w:t>管理人在FISP系统登记产品信息，由托管人对银行账户信息进行验证。产品登记成功后，由</w:t>
      </w:r>
      <w:r w:rsidR="00624961">
        <w:rPr>
          <w:rFonts w:asciiTheme="minorEastAsia" w:eastAsiaTheme="minorEastAsia" w:hAnsiTheme="minorEastAsia" w:cs="Arial" w:hint="eastAsia"/>
          <w:sz w:val="24"/>
        </w:rPr>
        <w:t>基金</w:t>
      </w:r>
      <w:r w:rsidRPr="002F3E66">
        <w:rPr>
          <w:rFonts w:asciiTheme="minorEastAsia" w:eastAsiaTheme="minorEastAsia" w:hAnsiTheme="minorEastAsia" w:cs="Arial" w:hint="eastAsia"/>
          <w:sz w:val="24"/>
        </w:rPr>
        <w:t>管理人在线向基金销售机构提交开户申请，账户开立信息通过FISP反馈</w:t>
      </w:r>
      <w:r w:rsidR="00624961">
        <w:rPr>
          <w:rFonts w:asciiTheme="minorEastAsia" w:eastAsiaTheme="minorEastAsia" w:hAnsiTheme="minorEastAsia" w:cs="Arial" w:hint="eastAsia"/>
          <w:sz w:val="24"/>
        </w:rPr>
        <w:t>基金</w:t>
      </w:r>
      <w:r w:rsidRPr="002F3E66">
        <w:rPr>
          <w:rFonts w:asciiTheme="minorEastAsia" w:eastAsiaTheme="minorEastAsia" w:hAnsiTheme="minorEastAsia" w:cs="Arial" w:hint="eastAsia"/>
          <w:sz w:val="24"/>
        </w:rPr>
        <w:t>管理人和托管人</w:t>
      </w:r>
      <w:r w:rsidR="008A1845">
        <w:rPr>
          <w:rFonts w:asciiTheme="minorEastAsia" w:eastAsiaTheme="minorEastAsia" w:hAnsiTheme="minorEastAsia" w:cs="Arial" w:hint="eastAsia"/>
          <w:sz w:val="24"/>
        </w:rPr>
        <w:t>。</w:t>
      </w:r>
    </w:p>
    <w:p w14:paraId="6FB4FB8A" w14:textId="6D1AB041"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00453EA8">
        <w:rPr>
          <w:rFonts w:asciiTheme="minorEastAsia" w:eastAsiaTheme="minorEastAsia" w:hAnsiTheme="minorEastAsia" w:cs="Arial" w:hint="eastAsia"/>
          <w:sz w:val="24"/>
        </w:rPr>
        <w:t>七</w:t>
      </w:r>
      <w:r w:rsidRPr="0040323D">
        <w:rPr>
          <w:rFonts w:asciiTheme="minorEastAsia" w:eastAsiaTheme="minorEastAsia" w:hAnsiTheme="minorEastAsia" w:cs="Arial" w:hint="eastAsia"/>
          <w:sz w:val="24"/>
        </w:rPr>
        <w:t>）其他账户的开立和管理</w:t>
      </w:r>
    </w:p>
    <w:p w14:paraId="0992AC0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1.在本托管协议订立日之后，本基金被允许从事符合法律法规规定和《基金合同》约定的其他投资品种的投资业务时，如果涉及相关账户的开设和使用，由基金</w:t>
      </w:r>
      <w:r w:rsidRPr="0040323D">
        <w:rPr>
          <w:rFonts w:asciiTheme="minorEastAsia" w:eastAsiaTheme="minorEastAsia" w:hAnsiTheme="minorEastAsia" w:cs="Arial" w:hint="eastAsia"/>
          <w:sz w:val="24"/>
        </w:rPr>
        <w:t>管理人协助托管人根据有关法律法规的规定和《基金合同》的约定，开立有关账户。该账户按有关规则使用并管理。</w:t>
      </w:r>
    </w:p>
    <w:p w14:paraId="5ADE7231"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2.法律法规等有关规定对相关账户的开立和管理另有规定的，从其规定办理。</w:t>
      </w:r>
    </w:p>
    <w:p w14:paraId="22CF9FFD" w14:textId="33E8A37A"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00453EA8">
        <w:rPr>
          <w:rFonts w:asciiTheme="minorEastAsia" w:eastAsiaTheme="minorEastAsia" w:hAnsiTheme="minorEastAsia" w:cs="Arial" w:hint="eastAsia"/>
          <w:sz w:val="24"/>
        </w:rPr>
        <w:t>八</w:t>
      </w:r>
      <w:r w:rsidRPr="0040323D">
        <w:rPr>
          <w:rFonts w:asciiTheme="minorEastAsia" w:eastAsiaTheme="minorEastAsia" w:hAnsiTheme="minorEastAsia" w:cs="Arial" w:hint="eastAsia"/>
          <w:sz w:val="24"/>
        </w:rPr>
        <w:t>）基金财产投资的有关有价凭证等的保管</w:t>
      </w:r>
    </w:p>
    <w:p w14:paraId="12396CC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rPr>
      </w:pPr>
      <w:r w:rsidRPr="0040323D">
        <w:rPr>
          <w:rFonts w:asciiTheme="minorEastAsia" w:eastAsiaTheme="minorEastAsia" w:hAnsiTheme="minorEastAsia" w:cs="Arial" w:hint="eastAsia"/>
          <w:sz w:val="24"/>
        </w:rPr>
        <w:t>基金财产投资的有关实物证券、银行</w:t>
      </w:r>
      <w:r w:rsidRPr="0040323D">
        <w:rPr>
          <w:rFonts w:asciiTheme="minorEastAsia" w:eastAsiaTheme="minorEastAsia" w:hAnsiTheme="minorEastAsia" w:hint="eastAsia"/>
          <w:sz w:val="24"/>
        </w:rPr>
        <w:t>存款开户证实书</w:t>
      </w:r>
      <w:r w:rsidRPr="0040323D">
        <w:rPr>
          <w:rFonts w:asciiTheme="minorEastAsia" w:eastAsiaTheme="minorEastAsia" w:hAnsiTheme="minorEastAsia" w:cs="Arial" w:hint="eastAsia"/>
          <w:sz w:val="24"/>
        </w:rPr>
        <w:t>等有价凭证由基金托管</w:t>
      </w:r>
      <w:r w:rsidRPr="0040323D">
        <w:rPr>
          <w:rFonts w:asciiTheme="minorEastAsia" w:eastAsiaTheme="minorEastAsia" w:hAnsiTheme="minorEastAsia" w:cs="Arial" w:hint="eastAsia"/>
          <w:sz w:val="24"/>
        </w:rPr>
        <w:lastRenderedPageBreak/>
        <w:t>人存放于基金托管人的保管库，也可存入中央国债登记结算有限责任公司、中国证券登记结算有限责任公司上海分公司</w:t>
      </w:r>
      <w:r w:rsidRPr="0040323D">
        <w:rPr>
          <w:rFonts w:asciiTheme="minorEastAsia" w:eastAsiaTheme="minorEastAsia" w:hAnsiTheme="minorEastAsia" w:cs="Arial"/>
          <w:sz w:val="24"/>
        </w:rPr>
        <w:t>/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00DD24C" w14:textId="7ED44E84"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00453EA8">
        <w:rPr>
          <w:rFonts w:asciiTheme="minorEastAsia" w:eastAsiaTheme="minorEastAsia" w:hAnsiTheme="minorEastAsia" w:cs="Arial" w:hint="eastAsia"/>
          <w:sz w:val="24"/>
        </w:rPr>
        <w:t>九</w:t>
      </w:r>
      <w:r w:rsidRPr="0040323D">
        <w:rPr>
          <w:rFonts w:asciiTheme="minorEastAsia" w:eastAsiaTheme="minorEastAsia" w:hAnsiTheme="minorEastAsia" w:cs="Arial" w:hint="eastAsia"/>
          <w:sz w:val="24"/>
        </w:rPr>
        <w:t>）与基金财产有关的重大合同的保管</w:t>
      </w:r>
    </w:p>
    <w:p w14:paraId="6D49919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期限。</w:t>
      </w:r>
    </w:p>
    <w:p w14:paraId="3A6226F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对于无法取得二份以上的正本的，基金管理人应向基金托管人提供加盖公章的合同复印件或传真件，未经双方协商一致，合同原件不得转移。</w:t>
      </w:r>
    </w:p>
    <w:p w14:paraId="627EA47B" w14:textId="77777777" w:rsidR="009D164B" w:rsidRPr="0040323D" w:rsidRDefault="009D164B">
      <w:pPr>
        <w:spacing w:before="240" w:after="240" w:line="276" w:lineRule="auto"/>
        <w:rPr>
          <w:rFonts w:asciiTheme="minorEastAsia" w:eastAsiaTheme="minorEastAsia" w:hAnsiTheme="minorEastAsia"/>
          <w:sz w:val="24"/>
        </w:rPr>
      </w:pPr>
    </w:p>
    <w:p w14:paraId="2F78E417"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53" w:name="_Toc86225293"/>
      <w:bookmarkStart w:id="54" w:name="_Toc84133787"/>
      <w:bookmarkStart w:id="55" w:name="_Toc86737931"/>
      <w:bookmarkStart w:id="56" w:name="_Toc86204790"/>
      <w:bookmarkStart w:id="57" w:name="_Toc86223244"/>
      <w:bookmarkStart w:id="58" w:name="_Toc86726441"/>
      <w:bookmarkStart w:id="59" w:name="_Toc84234389"/>
      <w:bookmarkStart w:id="60" w:name="_Toc89163370"/>
      <w:bookmarkStart w:id="61" w:name="_Toc86727357"/>
      <w:bookmarkStart w:id="62" w:name="_Toc118212952"/>
      <w:bookmarkStart w:id="63" w:name="_Toc118774805"/>
      <w:bookmarkStart w:id="64" w:name="_Toc110765662"/>
      <w:bookmarkStart w:id="65" w:name="_Toc120435785"/>
      <w:bookmarkStart w:id="66" w:name="_Toc84234436"/>
      <w:bookmarkStart w:id="67" w:name="_Toc124325890"/>
      <w:bookmarkStart w:id="68" w:name="_Toc108512360"/>
      <w:bookmarkStart w:id="69" w:name="_Toc110830494"/>
      <w:bookmarkStart w:id="70" w:name="_Toc118972650"/>
      <w:bookmarkStart w:id="71" w:name="_Toc119402712"/>
      <w:bookmarkStart w:id="72" w:name="_Toc110761798"/>
      <w:bookmarkStart w:id="73" w:name="_Toc86649724"/>
      <w:r w:rsidRPr="0040323D">
        <w:rPr>
          <w:rFonts w:asciiTheme="minorEastAsia" w:eastAsiaTheme="minorEastAsia" w:hAnsiTheme="minorEastAsia" w:hint="eastAsia"/>
          <w:sz w:val="30"/>
        </w:rPr>
        <w:t>六、指令的发送、确认及执行</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BD3254A"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7E4A670A"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（一）基金管理人对发送指令人员的书面授权</w:t>
      </w:r>
    </w:p>
    <w:p w14:paraId="075FDEB3"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1.基金管理人应指定专人向基金托管人发送指令。</w:t>
      </w:r>
    </w:p>
    <w:p w14:paraId="03EF3A72"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2.基金管理人应向基金托管人提供书面授权文件，内容包括被授权人名单、预留印鉴及被授权人签字样本，授权文件应注明被授权人相应的权限。</w:t>
      </w:r>
    </w:p>
    <w:p w14:paraId="0BA1CA7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3.基金托管人在收到授权文件原件并经电话确认后，授权文件即生效。如果授权文件中载明具体生效时间的，该生效时间不得早于基金托管人收到授权文件并经电话确认的时点。如早于</w:t>
      </w:r>
      <w:r w:rsidRPr="0040323D">
        <w:rPr>
          <w:rFonts w:asciiTheme="minorEastAsia" w:eastAsiaTheme="minorEastAsia" w:hAnsiTheme="minorEastAsia" w:cs="Arial" w:hint="eastAsia"/>
          <w:sz w:val="24"/>
        </w:rPr>
        <w:t>前述时间，则以基金托管人收到授权文件并经电话确认的时点为授权文件的生效时间。</w:t>
      </w:r>
    </w:p>
    <w:p w14:paraId="58E1AAD2"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4.基金管理人和基金托管人对授权文件负有保密义务，其内容不得向被授权人及相关操作人员以外的任何人泄露。但法律法规</w:t>
      </w:r>
      <w:r w:rsidRPr="0040323D">
        <w:rPr>
          <w:rFonts w:asciiTheme="minorEastAsia" w:eastAsiaTheme="minorEastAsia" w:hAnsiTheme="minorEastAsia" w:cs="Arial" w:hint="eastAsia"/>
          <w:sz w:val="24"/>
        </w:rPr>
        <w:t>另有规定或有权机关另有要求</w:t>
      </w:r>
      <w:r w:rsidRPr="0040323D">
        <w:rPr>
          <w:rFonts w:asciiTheme="minorEastAsia" w:eastAsiaTheme="minorEastAsia" w:hAnsiTheme="minorEastAsia" w:cs="Arial" w:hint="eastAsia"/>
          <w:sz w:val="24"/>
        </w:rPr>
        <w:lastRenderedPageBreak/>
        <w:t>的除外。</w:t>
      </w:r>
    </w:p>
    <w:p w14:paraId="646327D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（二）指令的内容</w:t>
      </w:r>
    </w:p>
    <w:p w14:paraId="4AFC05A6"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1.指令包括付款指令以及其他资金划拨指令等。</w:t>
      </w:r>
    </w:p>
    <w:p w14:paraId="41718107"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2.基金管理人发给基金托管人的指令应写明款项事由、支付时间、到账时间、金额、账户等，加盖预留印鉴并由被授权人签字。</w:t>
      </w:r>
    </w:p>
    <w:p w14:paraId="3A6FCD93"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（三）指令的发送、确认及执行的时间和程序</w:t>
      </w:r>
    </w:p>
    <w:p w14:paraId="6E2E46AF"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1.指令的发送</w:t>
      </w:r>
    </w:p>
    <w:p w14:paraId="005A8FF4"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基金管理人发送指令应采用加密传真方式或双方协商一致的其他方式。</w:t>
      </w:r>
    </w:p>
    <w:p w14:paraId="2D51382B"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FE489C3"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指令发出后，基金管理人应及时以电话方式向基金托管人确认。</w:t>
      </w:r>
    </w:p>
    <w:p w14:paraId="1D85D249" w14:textId="55DFEB63"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31E10932"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2.指令的确认</w:t>
      </w:r>
    </w:p>
    <w:p w14:paraId="212A925E"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93DD36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3.指令的时间和执行</w:t>
      </w:r>
    </w:p>
    <w:p w14:paraId="53E3D32F" w14:textId="5D949935" w:rsidR="009D164B" w:rsidRPr="0040323D" w:rsidRDefault="00AF3B6B">
      <w:pPr>
        <w:pStyle w:val="a7"/>
        <w:spacing w:before="240" w:after="240" w:line="276" w:lineRule="auto"/>
        <w:ind w:firstLineChars="0"/>
        <w:rPr>
          <w:rFonts w:asciiTheme="minorEastAsia" w:eastAsiaTheme="minorEastAsia" w:hAnsiTheme="minorEastAsia" w:cs="Arial"/>
          <w:szCs w:val="24"/>
          <w:shd w:val="pct10" w:color="auto" w:fill="FFFFFF"/>
        </w:rPr>
      </w:pPr>
      <w:r w:rsidRPr="0040323D">
        <w:rPr>
          <w:rFonts w:asciiTheme="minorEastAsia" w:eastAsiaTheme="minorEastAsia" w:hAnsiTheme="minorEastAsia" w:cs="Arial" w:hint="eastAsia"/>
        </w:rPr>
        <w:t>基金管理人尽量于划款前</w:t>
      </w:r>
      <w:r w:rsidRPr="0040323D">
        <w:rPr>
          <w:rFonts w:asciiTheme="minorEastAsia" w:eastAsiaTheme="minorEastAsia" w:hAnsiTheme="minorEastAsia" w:cs="Arial"/>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且相关付款条件已经具备。基金托管人将</w:t>
      </w:r>
      <w:r w:rsidRPr="0040323D">
        <w:rPr>
          <w:rFonts w:asciiTheme="minorEastAsia" w:eastAsiaTheme="minorEastAsia" w:hAnsiTheme="minorEastAsia" w:cs="Arial"/>
        </w:rPr>
        <w:lastRenderedPageBreak/>
        <w:t>视付款条件具备时为指令送达时间。对</w:t>
      </w:r>
      <w:r w:rsidRPr="0040323D">
        <w:rPr>
          <w:rFonts w:asciiTheme="minorEastAsia" w:eastAsiaTheme="minorEastAsia" w:hAnsiTheme="minorEastAsia" w:cs="Arial" w:hint="eastAsia"/>
        </w:rPr>
        <w:t>新</w:t>
      </w:r>
      <w:r w:rsidR="001310CB">
        <w:rPr>
          <w:rFonts w:asciiTheme="minorEastAsia" w:eastAsiaTheme="minorEastAsia" w:hAnsiTheme="minorEastAsia" w:cs="Arial" w:hint="eastAsia"/>
        </w:rPr>
        <w:t>股</w:t>
      </w:r>
      <w:r w:rsidRPr="0040323D">
        <w:rPr>
          <w:rFonts w:asciiTheme="minorEastAsia" w:eastAsiaTheme="minorEastAsia" w:hAnsiTheme="minorEastAsia" w:cs="Arial" w:hint="eastAsia"/>
        </w:rPr>
        <w:t>申购等网下发行业务，基金管理人应在网下申购缴款日</w:t>
      </w:r>
      <w:r w:rsidRPr="0040323D">
        <w:rPr>
          <w:rFonts w:asciiTheme="minorEastAsia" w:eastAsiaTheme="minorEastAsia" w:hAnsiTheme="minorEastAsia" w:cs="Arial"/>
        </w:rPr>
        <w:t>(T日)的前一工作日下班前将指令发送给基金托管人，指令发送时间最迟不应晚于T日上午10:00。</w:t>
      </w:r>
      <w:r w:rsidRPr="0040323D">
        <w:rPr>
          <w:rFonts w:asciiTheme="minorEastAsia" w:eastAsiaTheme="minorEastAsia" w:hAnsiTheme="minorEastAsia" w:cs="Arial" w:hint="eastAsia"/>
          <w:szCs w:val="24"/>
        </w:rPr>
        <w:t>对于中国证券登记结算有限责任公司实行</w:t>
      </w:r>
      <w:r w:rsidRPr="0040323D">
        <w:rPr>
          <w:rFonts w:asciiTheme="minorEastAsia" w:eastAsiaTheme="minorEastAsia" w:hAnsiTheme="minorEastAsia" w:cs="Arial"/>
          <w:szCs w:val="24"/>
        </w:rPr>
        <w:t>T+0非担保交收的业务，基金管理人应在交易日14：00</w:t>
      </w:r>
      <w:r w:rsidRPr="0040323D">
        <w:rPr>
          <w:rFonts w:asciiTheme="minorEastAsia" w:eastAsiaTheme="minorEastAsia" w:hAnsiTheme="minorEastAsia" w:cs="Arial" w:hint="eastAsia"/>
        </w:rPr>
        <w:t>前</w:t>
      </w:r>
      <w:r w:rsidRPr="0040323D">
        <w:rPr>
          <w:rFonts w:asciiTheme="minorEastAsia" w:eastAsiaTheme="minorEastAsia" w:hAnsiTheme="minorEastAsia" w:cs="Arial" w:hint="eastAsia"/>
          <w:szCs w:val="24"/>
        </w:rPr>
        <w:t>将划款指令发送至托管人。因基金管理人指令发送不及时，致使资金未能及时划入中国证券登记结算有限责任公司所造成的损失由基金管理人承担，包括赔偿在该市场引起其他托管客户交易失败、赔偿因占用</w:t>
      </w:r>
      <w:r w:rsidRPr="0040323D">
        <w:rPr>
          <w:rFonts w:asciiTheme="minorEastAsia" w:eastAsiaTheme="minorEastAsia" w:hAnsiTheme="minorEastAsia" w:cs="Arial" w:hint="eastAsia"/>
        </w:rPr>
        <w:t>结算参与人</w:t>
      </w:r>
      <w:r w:rsidRPr="0040323D">
        <w:rPr>
          <w:rFonts w:asciiTheme="minorEastAsia" w:eastAsiaTheme="minorEastAsia" w:hAnsiTheme="minorEastAsia" w:cs="Arial" w:hint="eastAsia"/>
          <w:szCs w:val="24"/>
        </w:rPr>
        <w:t>最低备付金带来的利息损失</w:t>
      </w:r>
      <w:r w:rsidRPr="0040323D">
        <w:rPr>
          <w:rFonts w:asciiTheme="minorEastAsia" w:eastAsiaTheme="minorEastAsia" w:hAnsiTheme="minorEastAsia" w:cs="Arial" w:hint="eastAsia"/>
        </w:rPr>
        <w:t>。</w:t>
      </w:r>
      <w:r w:rsidRPr="0040323D">
        <w:rPr>
          <w:rFonts w:asciiTheme="minorEastAsia" w:eastAsiaTheme="minorEastAsia" w:hAnsiTheme="minorEastAsia" w:cs="Arial" w:hint="eastAsia"/>
          <w:szCs w:val="24"/>
        </w:rPr>
        <w:t>若沪深市场</w:t>
      </w:r>
      <w:r w:rsidRPr="0040323D">
        <w:rPr>
          <w:rFonts w:asciiTheme="minorEastAsia" w:eastAsiaTheme="minorEastAsia" w:hAnsiTheme="minorEastAsia" w:cs="Arial"/>
          <w:szCs w:val="24"/>
        </w:rPr>
        <w:t xml:space="preserve">T+0 </w:t>
      </w:r>
      <w:r w:rsidRPr="0040323D">
        <w:rPr>
          <w:rFonts w:asciiTheme="minorEastAsia" w:eastAsiaTheme="minorEastAsia" w:hAnsiTheme="minorEastAsia" w:cs="Arial" w:hint="eastAsia"/>
          <w:szCs w:val="24"/>
        </w:rPr>
        <w:t>非担保交收规则调整，则此条款内容相应调整。基金管理人应确保基金托管人在执行指令时，基金资金账户有足够的资金余额，</w:t>
      </w:r>
      <w:r w:rsidRPr="0040323D">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64B54CFC" w14:textId="77777777" w:rsidR="009D164B" w:rsidRPr="0040323D" w:rsidRDefault="00AF3B6B">
      <w:pPr>
        <w:pStyle w:val="a7"/>
        <w:spacing w:before="240" w:after="240" w:line="276" w:lineRule="auto"/>
        <w:ind w:firstLineChars="0"/>
        <w:rPr>
          <w:rFonts w:asciiTheme="minorEastAsia" w:eastAsiaTheme="minorEastAsia" w:hAnsiTheme="minorEastAsia" w:cs="Arial"/>
        </w:rPr>
      </w:pPr>
      <w:r w:rsidRPr="0040323D">
        <w:rPr>
          <w:rFonts w:asciiTheme="minorEastAsia" w:eastAsiaTheme="minorEastAsia" w:hAnsiTheme="minorEastAsia" w:cs="Arial" w:hint="eastAsia"/>
        </w:rPr>
        <w:t>（四）基金管理人发送错误指令的情形和处理程序</w:t>
      </w:r>
    </w:p>
    <w:p w14:paraId="1A57581C"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14:paraId="23DBE79D"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465149C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（五）基金托管人依照法律法规暂缓、拒绝执行指令的情形和处理程序</w:t>
      </w:r>
    </w:p>
    <w:p w14:paraId="378825AB" w14:textId="31D51DEF"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proofErr w:type="gramStart"/>
      <w:r w:rsidRPr="0040323D">
        <w:rPr>
          <w:rFonts w:asciiTheme="minorEastAsia" w:eastAsiaTheme="minorEastAsia" w:hAnsiTheme="minorEastAsia" w:cs="Arial" w:hint="eastAsia"/>
          <w:sz w:val="24"/>
        </w:rPr>
        <w:t>若基金</w:t>
      </w:r>
      <w:proofErr w:type="gramEnd"/>
      <w:r w:rsidRPr="0040323D">
        <w:rPr>
          <w:rFonts w:asciiTheme="minorEastAsia" w:eastAsiaTheme="minorEastAsia" w:hAnsiTheme="minorEastAsia" w:cs="Arial" w:hint="eastAsia"/>
          <w:sz w:val="24"/>
        </w:rPr>
        <w:t>托管人发现基金管理人的指令违反法律法规，或者违反《基金合同》约定的，应当拒绝执行，并立即通知基金管理人。</w:t>
      </w:r>
    </w:p>
    <w:p w14:paraId="7D19EACF"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（六）基金托管人未按照基金管理人指令执行的处理方法</w:t>
      </w:r>
    </w:p>
    <w:p w14:paraId="6651F14C" w14:textId="744A8299"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基金托管人由于</w:t>
      </w:r>
      <w:r w:rsidR="00F310AA" w:rsidRPr="0040323D">
        <w:rPr>
          <w:rFonts w:asciiTheme="minorEastAsia" w:eastAsiaTheme="minorEastAsia" w:hAnsiTheme="minorEastAsia" w:cs="Arial" w:hint="eastAsia"/>
          <w:sz w:val="24"/>
        </w:rPr>
        <w:t>过错</w:t>
      </w:r>
      <w:r w:rsidRPr="0040323D">
        <w:rPr>
          <w:rFonts w:asciiTheme="minorEastAsia" w:eastAsiaTheme="minorEastAsia" w:hAnsiTheme="minorEastAsia" w:cs="Arial" w:hint="eastAsia"/>
          <w:sz w:val="24"/>
        </w:rPr>
        <w:t>，未按照基金管理人发送的指令执行并对基金财产或投资人造成的直接损失，由基金托管人</w:t>
      </w:r>
      <w:r w:rsidRPr="0040323D">
        <w:rPr>
          <w:rFonts w:asciiTheme="minorEastAsia" w:eastAsiaTheme="minorEastAsia" w:hAnsiTheme="minorEastAsia" w:hint="eastAsia"/>
          <w:sz w:val="24"/>
        </w:rPr>
        <w:t>赔偿由此造成的直接损失。</w:t>
      </w:r>
    </w:p>
    <w:p w14:paraId="70A2D23D" w14:textId="69811E7E"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（七）更换被授权人的程序</w:t>
      </w:r>
    </w:p>
    <w:p w14:paraId="31686200" w14:textId="197BABCE"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0323D">
        <w:rPr>
          <w:rFonts w:asciiTheme="minorEastAsia" w:eastAsiaTheme="minorEastAsia" w:hAnsiTheme="minorEastAsia" w:hint="eastAsia"/>
          <w:sz w:val="24"/>
        </w:rPr>
        <w:t>。</w:t>
      </w:r>
      <w:r w:rsidRPr="0040323D">
        <w:rPr>
          <w:rFonts w:asciiTheme="minorEastAsia" w:eastAsiaTheme="minorEastAsia" w:hAnsiTheme="minorEastAsia" w:cs="Arial" w:hint="eastAsia"/>
          <w:sz w:val="24"/>
        </w:rPr>
        <w:t>基金托管人更换接收基金管理人指令的人员，应提前通过录音电话通知基金管理人。</w:t>
      </w:r>
    </w:p>
    <w:p w14:paraId="0C846CF3"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（八）其他事项</w:t>
      </w:r>
    </w:p>
    <w:p w14:paraId="4F545CAD" w14:textId="57EA169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基金托管人在接收指令时，应对指令的要素是否齐全、印鉴与被授权人是否与</w:t>
      </w:r>
      <w:r w:rsidRPr="0040323D">
        <w:rPr>
          <w:rFonts w:asciiTheme="minorEastAsia" w:eastAsiaTheme="minorEastAsia" w:hAnsiTheme="minorEastAsia" w:cs="Arial" w:hint="eastAsia"/>
          <w:sz w:val="24"/>
        </w:rPr>
        <w:lastRenderedPageBreak/>
        <w:t>预留的授权文件内容相符进行检查，如发现问题，应及时报告基金管理人，基金托管人对执行基金管理人的合法指令对基金财产造成的损失不承担赔偿责任。</w:t>
      </w:r>
    </w:p>
    <w:p w14:paraId="72742DBD"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E0BA424" w14:textId="77777777" w:rsidR="009D164B" w:rsidRPr="0040323D" w:rsidRDefault="009D164B">
      <w:pPr>
        <w:adjustRightInd w:val="0"/>
        <w:snapToGrid w:val="0"/>
        <w:spacing w:before="240" w:after="240" w:line="276" w:lineRule="auto"/>
        <w:rPr>
          <w:rFonts w:asciiTheme="minorEastAsia" w:eastAsiaTheme="minorEastAsia" w:hAnsiTheme="minorEastAsia" w:cs="Arial"/>
          <w:sz w:val="24"/>
        </w:rPr>
      </w:pPr>
    </w:p>
    <w:p w14:paraId="4FA4FC47"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74" w:name="_Toc120435786"/>
      <w:bookmarkStart w:id="75" w:name="_Toc86737932"/>
      <w:bookmarkStart w:id="76" w:name="_Toc84133788"/>
      <w:bookmarkStart w:id="77" w:name="_Toc110765663"/>
      <w:bookmarkStart w:id="78" w:name="_Toc119402713"/>
      <w:bookmarkStart w:id="79" w:name="_Toc86726442"/>
      <w:bookmarkStart w:id="80" w:name="_Toc86204791"/>
      <w:bookmarkStart w:id="81" w:name="_Toc124325891"/>
      <w:bookmarkStart w:id="82" w:name="_Toc118972651"/>
      <w:bookmarkStart w:id="83" w:name="_Toc110761799"/>
      <w:bookmarkStart w:id="84" w:name="_Toc89163371"/>
      <w:bookmarkStart w:id="85" w:name="_Toc84234390"/>
      <w:bookmarkStart w:id="86" w:name="_Toc108512361"/>
      <w:bookmarkStart w:id="87" w:name="_Toc86223245"/>
      <w:bookmarkStart w:id="88" w:name="_Toc86649725"/>
      <w:bookmarkStart w:id="89" w:name="_Toc86727358"/>
      <w:bookmarkStart w:id="90" w:name="_Toc86225294"/>
      <w:bookmarkStart w:id="91" w:name="_Toc84234437"/>
      <w:bookmarkStart w:id="92" w:name="_Toc110830495"/>
      <w:bookmarkStart w:id="93" w:name="_Toc118212953"/>
      <w:bookmarkStart w:id="94" w:name="_Toc118774806"/>
      <w:r w:rsidRPr="0040323D">
        <w:rPr>
          <w:rFonts w:asciiTheme="minorEastAsia" w:eastAsiaTheme="minorEastAsia" w:hAnsiTheme="minorEastAsia" w:hint="eastAsia"/>
          <w:sz w:val="30"/>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76F0BB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（一）选择证券、期货买卖的证券、期货经营机构</w:t>
      </w:r>
    </w:p>
    <w:p w14:paraId="4A21D9E7" w14:textId="45A6A852"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应设计选择证券、期货买卖的证券、期货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FB14C0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基金管理人负责选择为本基金提供期货交易服务的期货经纪公司，并与其签订期货经纪合同。</w:t>
      </w:r>
    </w:p>
    <w:p w14:paraId="1FBDC172"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i/>
          <w:sz w:val="24"/>
          <w:highlight w:val="yellow"/>
        </w:rPr>
      </w:pPr>
      <w:r w:rsidRPr="0040323D">
        <w:rPr>
          <w:rFonts w:asciiTheme="minorEastAsia" w:eastAsiaTheme="minorEastAsia" w:hAnsiTheme="minorEastAsia" w:cs="Arial" w:hint="eastAsia"/>
          <w:sz w:val="24"/>
        </w:rPr>
        <w:t>本基金在开始进行期货投资之前，基金管理人应与基金托管人、期货公司三方一同就期货开户、清算、估值、交收等事宜另行签署《期货投资托管操作三方备忘录》。</w:t>
      </w:r>
    </w:p>
    <w:p w14:paraId="2E0C59D3" w14:textId="4A71849C" w:rsidR="00B37B14" w:rsidRPr="00B37B14" w:rsidRDefault="00B37B14" w:rsidP="00B37B14">
      <w:pPr>
        <w:adjustRightInd w:val="0"/>
        <w:snapToGrid w:val="0"/>
        <w:spacing w:before="240" w:after="240" w:line="276" w:lineRule="auto"/>
        <w:ind w:firstLine="480"/>
        <w:rPr>
          <w:rFonts w:asciiTheme="minorEastAsia" w:eastAsiaTheme="minorEastAsia" w:hAnsiTheme="minorEastAsia" w:cs="Arial"/>
          <w:sz w:val="24"/>
        </w:rPr>
      </w:pPr>
      <w:r w:rsidRPr="00B37B14">
        <w:rPr>
          <w:rFonts w:asciiTheme="minorEastAsia" w:eastAsiaTheme="minorEastAsia" w:hAnsiTheme="minorEastAsia" w:cs="Arial" w:hint="eastAsia"/>
          <w:sz w:val="24"/>
        </w:rPr>
        <w:t>本</w:t>
      </w:r>
      <w:r w:rsidR="006363EB">
        <w:rPr>
          <w:rFonts w:asciiTheme="minorEastAsia" w:eastAsiaTheme="minorEastAsia" w:hAnsiTheme="minorEastAsia" w:cs="Arial" w:hint="eastAsia"/>
          <w:sz w:val="24"/>
        </w:rPr>
        <w:t>基金</w:t>
      </w:r>
      <w:r w:rsidRPr="00B37B14">
        <w:rPr>
          <w:rFonts w:asciiTheme="minorEastAsia" w:eastAsiaTheme="minorEastAsia" w:hAnsiTheme="minorEastAsia" w:cs="Arial"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w:t>
      </w:r>
      <w:r w:rsidR="00E9175E">
        <w:rPr>
          <w:rFonts w:asciiTheme="minorEastAsia" w:eastAsiaTheme="minorEastAsia" w:hAnsiTheme="minorEastAsia" w:cs="Arial" w:hint="eastAsia"/>
          <w:sz w:val="24"/>
        </w:rPr>
        <w:t>基金</w:t>
      </w:r>
      <w:r w:rsidRPr="00B37B14">
        <w:rPr>
          <w:rFonts w:asciiTheme="minorEastAsia" w:eastAsiaTheme="minorEastAsia" w:hAnsiTheme="minorEastAsia" w:cs="Arial" w:hint="eastAsia"/>
          <w:sz w:val="24"/>
        </w:rPr>
        <w:t>开立衍生品合约账户后，再通过该证券公司（或期货公司）参与期权交易。</w:t>
      </w:r>
    </w:p>
    <w:p w14:paraId="6386295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（二）基金投资证券后的清算交收安排</w:t>
      </w:r>
    </w:p>
    <w:p w14:paraId="2CED9D64"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1.清算与交割</w:t>
      </w:r>
    </w:p>
    <w:p w14:paraId="32BBDF8B" w14:textId="7ECDB49E" w:rsidR="009D164B" w:rsidRPr="0040323D" w:rsidRDefault="00AF3B6B">
      <w:pPr>
        <w:adjustRightInd w:val="0"/>
        <w:snapToGrid w:val="0"/>
        <w:spacing w:before="240" w:after="240" w:line="276" w:lineRule="auto"/>
        <w:ind w:firstLine="480"/>
        <w:rPr>
          <w:rFonts w:asciiTheme="minorEastAsia" w:eastAsiaTheme="minorEastAsia" w:hAnsiTheme="minorEastAsia"/>
          <w:sz w:val="24"/>
        </w:rPr>
      </w:pPr>
      <w:r w:rsidRPr="0040323D">
        <w:rPr>
          <w:rFonts w:asciiTheme="minorEastAsia" w:eastAsiaTheme="minorEastAsia" w:hAnsiTheme="minorEastAsia" w:hint="eastAsia"/>
          <w:sz w:val="24"/>
        </w:rPr>
        <w:t>基金管理人与基金托管人应根据有关法律法规及相关业务规则，</w:t>
      </w:r>
      <w:r w:rsidRPr="004C6E7F">
        <w:rPr>
          <w:rFonts w:asciiTheme="minorEastAsia" w:eastAsiaTheme="minorEastAsia" w:hAnsiTheme="minorEastAsia" w:hint="eastAsia"/>
          <w:sz w:val="24"/>
        </w:rPr>
        <w:t>签订《托管银行证券资金结算协议》</w:t>
      </w:r>
      <w:r w:rsidRPr="0040323D">
        <w:rPr>
          <w:rFonts w:asciiTheme="minorEastAsia" w:eastAsiaTheme="minorEastAsia" w:hAnsiTheme="minorEastAsia" w:hint="eastAsia"/>
          <w:sz w:val="24"/>
        </w:rPr>
        <w:t>，</w:t>
      </w:r>
      <w:r w:rsidR="004B4A39" w:rsidRPr="004B4A39">
        <w:rPr>
          <w:rFonts w:asciiTheme="minorEastAsia" w:eastAsiaTheme="minorEastAsia" w:hAnsiTheme="minorEastAsia"/>
          <w:sz w:val="24"/>
        </w:rPr>
        <w:t>如投资港股通，还需签订《证券投资基金港股通结算补充协议》，</w:t>
      </w:r>
      <w:r w:rsidRPr="0040323D">
        <w:rPr>
          <w:rFonts w:asciiTheme="minorEastAsia" w:eastAsiaTheme="minorEastAsia" w:hAnsiTheme="minorEastAsia" w:hint="eastAsia"/>
          <w:sz w:val="24"/>
        </w:rPr>
        <w:t>用以具体明确基金管理人与基金托管人在证券交易资金结算业务中的责任。</w:t>
      </w:r>
    </w:p>
    <w:p w14:paraId="6C7BA5A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hint="eastAsia"/>
          <w:sz w:val="24"/>
        </w:rPr>
        <w:t>根据中国证券登记结算有限责任公司规定，在每月前3个工作日内，中国证</w:t>
      </w:r>
      <w:r w:rsidRPr="0040323D">
        <w:rPr>
          <w:rFonts w:asciiTheme="minorEastAsia" w:eastAsiaTheme="minorEastAsia" w:hAnsiTheme="minorEastAsia"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E8E9616"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F20C09B"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w:t>
      </w:r>
      <w:r w:rsidRPr="00AB418C">
        <w:rPr>
          <w:rFonts w:asciiTheme="minorEastAsia" w:eastAsiaTheme="minorEastAsia" w:hAnsiTheme="minorEastAsia" w:cs="Arial" w:hint="eastAsia"/>
          <w:sz w:val="24"/>
        </w:rPr>
        <w:t>由基金管理人按照其与基金托管人签署的《托管银行证券资金结算协议》的约定</w:t>
      </w:r>
      <w:r w:rsidRPr="0040323D">
        <w:rPr>
          <w:rFonts w:asciiTheme="minorEastAsia" w:eastAsiaTheme="minorEastAsia" w:hAnsiTheme="minorEastAsia" w:cs="Arial" w:hint="eastAsia"/>
          <w:sz w:val="24"/>
        </w:rPr>
        <w:t>承担相关责任。</w:t>
      </w:r>
    </w:p>
    <w:p w14:paraId="4689C264"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宋体"/>
          <w:color w:val="000000"/>
          <w:kern w:val="0"/>
          <w:sz w:val="24"/>
        </w:rPr>
      </w:pPr>
      <w:r w:rsidRPr="0040323D">
        <w:rPr>
          <w:rFonts w:asciiTheme="minorEastAsia" w:eastAsiaTheme="minorEastAsia" w:hAnsiTheme="minorEastAsia" w:cs="宋体" w:hint="eastAsia"/>
          <w:color w:val="000000"/>
          <w:kern w:val="0"/>
          <w:sz w:val="24"/>
        </w:rPr>
        <w:t>基金管理人应采取合理、必要措施，确保</w:t>
      </w:r>
      <w:r w:rsidRPr="0040323D">
        <w:rPr>
          <w:rFonts w:asciiTheme="minorEastAsia" w:eastAsiaTheme="minorEastAsia" w:hAnsiTheme="minorEastAsia" w:cs="宋体"/>
          <w:color w:val="000000"/>
          <w:kern w:val="0"/>
          <w:sz w:val="24"/>
        </w:rPr>
        <w:t>T日日终有足够的资金头寸完成 T+1日</w:t>
      </w:r>
      <w:r w:rsidRPr="0040323D">
        <w:rPr>
          <w:rFonts w:asciiTheme="minorEastAsia" w:eastAsiaTheme="minorEastAsia" w:hAnsiTheme="minorEastAsia" w:hint="eastAsia"/>
          <w:sz w:val="24"/>
        </w:rPr>
        <w:t>中国证券登记结算有限责任公司的资金</w:t>
      </w:r>
      <w:r w:rsidRPr="0040323D">
        <w:rPr>
          <w:rFonts w:asciiTheme="minorEastAsia" w:eastAsiaTheme="minorEastAsia" w:hAnsiTheme="minorEastAsia" w:cs="宋体" w:hint="eastAsia"/>
          <w:color w:val="000000"/>
          <w:kern w:val="0"/>
          <w:sz w:val="24"/>
        </w:rPr>
        <w:t>交收；如因基金管理人原因导致资金头寸不足，基金管理人应在</w:t>
      </w:r>
      <w:r w:rsidRPr="0040323D">
        <w:rPr>
          <w:rFonts w:asciiTheme="minorEastAsia" w:eastAsiaTheme="minorEastAsia" w:hAnsiTheme="minorEastAsia" w:cs="宋体"/>
          <w:color w:val="000000"/>
          <w:kern w:val="0"/>
          <w:sz w:val="24"/>
        </w:rPr>
        <w:t>T+1日上午12：00前补足透支款项，确保资金清算。如果未遵循上述规定备足资金头寸，影响基金资产的清算交收及基金托管人与中国证券登记结算有限责任公司之间的一级清算，</w:t>
      </w:r>
      <w:r w:rsidRPr="00AB418C">
        <w:rPr>
          <w:rFonts w:asciiTheme="minorEastAsia" w:eastAsiaTheme="minorEastAsia" w:hAnsiTheme="minorEastAsia" w:cs="宋体"/>
          <w:color w:val="000000"/>
          <w:kern w:val="0"/>
          <w:sz w:val="24"/>
        </w:rPr>
        <w:t>由基金管理人按照其与基金托管人签署的《托管银行证券资金结算协议》的约定</w:t>
      </w:r>
      <w:r w:rsidRPr="0040323D">
        <w:rPr>
          <w:rFonts w:asciiTheme="minorEastAsia" w:eastAsiaTheme="minorEastAsia" w:hAnsiTheme="minorEastAsia" w:cs="宋体"/>
          <w:color w:val="000000"/>
          <w:kern w:val="0"/>
          <w:sz w:val="24"/>
        </w:rPr>
        <w:t>承担相关责任。</w:t>
      </w:r>
      <w:r w:rsidRPr="0040323D">
        <w:rPr>
          <w:rFonts w:asciiTheme="minorEastAsia" w:eastAsiaTheme="minorEastAsia" w:hAnsiTheme="minorEastAsia" w:cs="Arial"/>
          <w:sz w:val="24"/>
        </w:rPr>
        <w:t xml:space="preserve"> </w:t>
      </w:r>
    </w:p>
    <w:p w14:paraId="2DF34621"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8D6249F"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实行场内</w:t>
      </w:r>
      <w:r w:rsidRPr="0040323D">
        <w:rPr>
          <w:rFonts w:asciiTheme="minorEastAsia" w:eastAsiaTheme="minorEastAsia" w:hAnsiTheme="minorEastAsia" w:cs="Arial"/>
          <w:sz w:val="24"/>
        </w:rPr>
        <w:t>T+0交收的资金清算按照基金托管人的相关规定流程执行。</w:t>
      </w:r>
    </w:p>
    <w:p w14:paraId="7A47D049"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2.交易记录、资金和证券/期货</w:t>
      </w:r>
      <w:r w:rsidRPr="0040323D">
        <w:rPr>
          <w:rFonts w:asciiTheme="minorEastAsia" w:eastAsiaTheme="minorEastAsia" w:hAnsiTheme="minorEastAsia" w:cs="Arial" w:hint="eastAsia"/>
          <w:sz w:val="24"/>
        </w:rPr>
        <w:t>账目核对的时间和方式</w:t>
      </w:r>
    </w:p>
    <w:p w14:paraId="300E694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Pr="0040323D">
        <w:rPr>
          <w:rFonts w:asciiTheme="minorEastAsia" w:eastAsiaTheme="minorEastAsia" w:hAnsiTheme="minorEastAsia" w:cs="Arial"/>
          <w:sz w:val="24"/>
        </w:rPr>
        <w:t>1）交易记录的核对</w:t>
      </w:r>
    </w:p>
    <w:p w14:paraId="33E95382" w14:textId="13917F40"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hint="eastAsia"/>
          <w:kern w:val="0"/>
          <w:sz w:val="24"/>
        </w:rPr>
        <w:t>基金管理人按日进行交易记录的核对。对外披露净值之前，必须保证当天所有</w:t>
      </w:r>
      <w:r w:rsidRPr="0040323D">
        <w:rPr>
          <w:rFonts w:asciiTheme="minorEastAsia" w:eastAsiaTheme="minorEastAsia" w:hAnsiTheme="minorEastAsia" w:hint="eastAsia"/>
          <w:kern w:val="0"/>
          <w:sz w:val="24"/>
        </w:rPr>
        <w:lastRenderedPageBreak/>
        <w:t>实际交易记录与基金会计账簿上的交易记录完全一致。如果实际交易记录与会计账簿记录不一致，造成基金会计核算不完整或不真实，由此导致的损失由</w:t>
      </w:r>
      <w:r w:rsidR="00DF6111">
        <w:rPr>
          <w:rFonts w:asciiTheme="minorEastAsia" w:eastAsiaTheme="minorEastAsia" w:hAnsiTheme="minorEastAsia" w:hint="eastAsia"/>
          <w:kern w:val="0"/>
          <w:sz w:val="24"/>
        </w:rPr>
        <w:t>基金管理人</w:t>
      </w:r>
      <w:r w:rsidRPr="0040323D">
        <w:rPr>
          <w:rFonts w:asciiTheme="minorEastAsia" w:eastAsiaTheme="minorEastAsia" w:hAnsiTheme="minorEastAsia" w:hint="eastAsia"/>
          <w:kern w:val="0"/>
          <w:sz w:val="24"/>
        </w:rPr>
        <w:t>承担。</w:t>
      </w:r>
    </w:p>
    <w:p w14:paraId="19357B18"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Pr="0040323D">
        <w:rPr>
          <w:rFonts w:asciiTheme="minorEastAsia" w:eastAsiaTheme="minorEastAsia" w:hAnsiTheme="minorEastAsia" w:cs="Arial"/>
          <w:sz w:val="24"/>
        </w:rPr>
        <w:t>2）资金账目的核对</w:t>
      </w:r>
    </w:p>
    <w:p w14:paraId="33C00B88"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资金账目按日核实。</w:t>
      </w:r>
    </w:p>
    <w:p w14:paraId="698722A4"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Pr="0040323D">
        <w:rPr>
          <w:rFonts w:asciiTheme="minorEastAsia" w:eastAsiaTheme="minorEastAsia" w:hAnsiTheme="minorEastAsia" w:cs="Arial"/>
          <w:sz w:val="24"/>
        </w:rPr>
        <w:t>3）证券/</w:t>
      </w:r>
      <w:r w:rsidRPr="0040323D">
        <w:rPr>
          <w:rFonts w:asciiTheme="minorEastAsia" w:eastAsiaTheme="minorEastAsia" w:hAnsiTheme="minorEastAsia" w:cs="Arial" w:hint="eastAsia"/>
          <w:sz w:val="24"/>
        </w:rPr>
        <w:t>期货账目的核对</w:t>
      </w:r>
    </w:p>
    <w:p w14:paraId="0048DD4D"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基金管理人和基金托管人每个交易日结束后核对基金证券</w:t>
      </w:r>
      <w:r w:rsidRPr="0040323D">
        <w:rPr>
          <w:rFonts w:asciiTheme="minorEastAsia" w:eastAsiaTheme="minorEastAsia" w:hAnsiTheme="minorEastAsia" w:cs="Arial"/>
          <w:sz w:val="24"/>
        </w:rPr>
        <w:t>/期货</w:t>
      </w:r>
      <w:r w:rsidRPr="0040323D">
        <w:rPr>
          <w:rFonts w:asciiTheme="minorEastAsia" w:eastAsiaTheme="minorEastAsia" w:hAnsiTheme="minorEastAsia" w:cs="Arial" w:hint="eastAsia"/>
          <w:sz w:val="24"/>
        </w:rPr>
        <w:t>账目，确保双方账目相符。基金管理人和基金托管人每月月末核对实物证券账目。</w:t>
      </w:r>
    </w:p>
    <w:p w14:paraId="065E7FC9"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（三）基金申购、赎回、</w:t>
      </w:r>
      <w:r w:rsidRPr="0040323D">
        <w:rPr>
          <w:rFonts w:asciiTheme="minorEastAsia" w:eastAsiaTheme="minorEastAsia" w:hAnsiTheme="minorEastAsia" w:cs="Arial"/>
          <w:sz w:val="24"/>
        </w:rPr>
        <w:t>转换</w:t>
      </w:r>
      <w:r w:rsidRPr="0040323D">
        <w:rPr>
          <w:rFonts w:asciiTheme="minorEastAsia" w:eastAsiaTheme="minorEastAsia" w:hAnsiTheme="minorEastAsia" w:cs="Arial" w:hint="eastAsia"/>
          <w:sz w:val="24"/>
        </w:rPr>
        <w:t>业务处理的基本规定</w:t>
      </w:r>
    </w:p>
    <w:p w14:paraId="7258E6F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1.基金份额申购、赎回、转换</w:t>
      </w:r>
      <w:r w:rsidRPr="0040323D">
        <w:rPr>
          <w:rFonts w:asciiTheme="minorEastAsia" w:eastAsiaTheme="minorEastAsia" w:hAnsiTheme="minorEastAsia" w:cs="Arial" w:hint="eastAsia"/>
          <w:sz w:val="24"/>
        </w:rPr>
        <w:t>的确认、清算由基金管理人或其委托的登记机构负责。</w:t>
      </w:r>
    </w:p>
    <w:p w14:paraId="57A1424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0782F1A"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3.基金管理人应保证本基金（或本基金管理人委托）的登记机构每个工作日15:00前向基金托管人发送前一开放</w:t>
      </w:r>
      <w:r w:rsidRPr="0040323D">
        <w:rPr>
          <w:rFonts w:asciiTheme="minorEastAsia" w:eastAsiaTheme="minorEastAsia" w:hAnsiTheme="minorEastAsia" w:cs="Arial" w:hint="eastAsia"/>
          <w:sz w:val="24"/>
        </w:rPr>
        <w:t>日上述有关数据，并保证相关数据的准确、完整。</w:t>
      </w:r>
    </w:p>
    <w:p w14:paraId="7DB3D0B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4.登记机构应通过与基金托管人建立的加密系统发送有关数据，如因各种原因，该系统无法正常发送，双方可协商解决处理方式。基金管理人向基金托管人发送的数据，双方各自按有关规定保存。</w:t>
      </w:r>
    </w:p>
    <w:p w14:paraId="765AAEE7"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5.如基金管理人委托其他机构办理本基金的注册登记业务，应保证上述相关事宜按时进行。否则，由基金管理人承担相应的责任。</w:t>
      </w:r>
    </w:p>
    <w:p w14:paraId="0FF4DD91"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6.关于清算专用账户的设立和管理</w:t>
      </w:r>
    </w:p>
    <w:p w14:paraId="3FE4AAB7"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为满足申购、赎回及分红资金汇划的需要，由基金管理人开立资金清算的专用账户，该账户由登记机构管理。</w:t>
      </w:r>
    </w:p>
    <w:p w14:paraId="4275FA4F" w14:textId="4FCB7751"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7.对于基金申购过程中产生的应收款，应由基金管理人负责与有关当事人确定到账日期并通</w:t>
      </w:r>
      <w:r w:rsidRPr="0040323D">
        <w:rPr>
          <w:rFonts w:asciiTheme="minorEastAsia" w:eastAsiaTheme="minorEastAsia" w:hAnsiTheme="minorEastAsia" w:cs="Arial" w:hint="eastAsia"/>
          <w:sz w:val="24"/>
        </w:rPr>
        <w:t>知基金托管人，到账日应收款没有到达基金资金账户的，基金托管人应及时通知基金管理人采取措施进行催收，由此造成基金损失的，基金管理人应负责向有关当事人追偿基金的损失。</w:t>
      </w:r>
    </w:p>
    <w:p w14:paraId="43107BA5"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lastRenderedPageBreak/>
        <w:t>8.赎回和分红资金划拨规定</w:t>
      </w:r>
    </w:p>
    <w:p w14:paraId="6A6445B3" w14:textId="4F8AF7EB"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拨付</w:t>
      </w:r>
      <w:proofErr w:type="gramStart"/>
      <w:r w:rsidRPr="0040323D">
        <w:rPr>
          <w:rFonts w:asciiTheme="minorEastAsia" w:eastAsiaTheme="minorEastAsia" w:hAnsiTheme="minorEastAsia" w:cs="Arial" w:hint="eastAsia"/>
          <w:sz w:val="24"/>
        </w:rPr>
        <w:t>赎回款</w:t>
      </w:r>
      <w:proofErr w:type="gramEnd"/>
      <w:r w:rsidRPr="0040323D">
        <w:rPr>
          <w:rFonts w:asciiTheme="minorEastAsia" w:eastAsiaTheme="minorEastAsia" w:hAnsiTheme="minorEastAsia" w:cs="Arial" w:hint="eastAsia"/>
          <w:sz w:val="24"/>
        </w:rPr>
        <w:t>或进行基金分红时，如基金资金账户有足够的资金，基金托管人应按时拨付；因基金资金账户没有足够的资金，导致基金托管人不能按时拨付，如</w:t>
      </w:r>
      <w:proofErr w:type="gramStart"/>
      <w:r w:rsidRPr="0040323D">
        <w:rPr>
          <w:rFonts w:asciiTheme="minorEastAsia" w:eastAsiaTheme="minorEastAsia" w:hAnsiTheme="minorEastAsia" w:cs="Arial" w:hint="eastAsia"/>
          <w:sz w:val="24"/>
        </w:rPr>
        <w:t>系基金</w:t>
      </w:r>
      <w:proofErr w:type="gramEnd"/>
      <w:r w:rsidRPr="0040323D">
        <w:rPr>
          <w:rFonts w:asciiTheme="minorEastAsia" w:eastAsiaTheme="minorEastAsia" w:hAnsiTheme="minorEastAsia" w:cs="Arial" w:hint="eastAsia"/>
          <w:sz w:val="24"/>
        </w:rPr>
        <w:t>管理人的原因造成，责任由基金管理人承担，基金托管人不承担垫款义务。</w:t>
      </w:r>
    </w:p>
    <w:p w14:paraId="23D2DF49"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9.资金指令</w:t>
      </w:r>
    </w:p>
    <w:p w14:paraId="6BCCC5A3"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29C7016A"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资金指令的格式、内容、发送、接收和确认方式等与投资指令相同。</w:t>
      </w:r>
    </w:p>
    <w:p w14:paraId="528E1B72"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（四）申赎净额结算</w:t>
      </w:r>
    </w:p>
    <w:p w14:paraId="30BFB962" w14:textId="77777777" w:rsidR="009D164B" w:rsidRPr="0040323D" w:rsidRDefault="00AF3B6B">
      <w:pPr>
        <w:adjustRightInd w:val="0"/>
        <w:snapToGrid w:val="0"/>
        <w:spacing w:before="240" w:after="240" w:line="276" w:lineRule="auto"/>
        <w:ind w:firstLine="42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基金托管账户与“注册登记清算账户”间的资金清算遵循“全额清算、净额交收”的原则，每日</w:t>
      </w:r>
      <w:r w:rsidRPr="0040323D">
        <w:rPr>
          <w:rFonts w:asciiTheme="minorEastAsia" w:eastAsiaTheme="minorEastAsia" w:hAnsiTheme="minorEastAsia" w:cs="Arial"/>
          <w:sz w:val="24"/>
        </w:rPr>
        <w:t>(T日：资金交收日，下同)按照托管账户当日应收资金（包括申购资金及基金转换转入款）与应付资金额（含赎回资金、扣除</w:t>
      </w:r>
      <w:r w:rsidRPr="0040323D">
        <w:rPr>
          <w:rFonts w:asciiTheme="minorEastAsia" w:eastAsiaTheme="minorEastAsia" w:hAnsiTheme="minorEastAsia" w:cs="Arial" w:hint="eastAsia"/>
          <w:sz w:val="24"/>
        </w:rPr>
        <w:t>归基金财产的赎回费、基金转换转出款及扣除归基金财产的转换费）的差额来确定托管账户净应收额或净应付额，以此确定资金交收额。</w:t>
      </w:r>
    </w:p>
    <w:p w14:paraId="4637BDB1" w14:textId="77777777" w:rsidR="009D164B" w:rsidRPr="0040323D" w:rsidRDefault="00AF3B6B">
      <w:pPr>
        <w:adjustRightInd w:val="0"/>
        <w:snapToGrid w:val="0"/>
        <w:spacing w:before="240" w:after="240" w:line="276" w:lineRule="auto"/>
        <w:ind w:firstLine="420"/>
        <w:rPr>
          <w:rFonts w:asciiTheme="minorEastAsia" w:eastAsiaTheme="minorEastAsia" w:hAnsiTheme="minorEastAsia" w:cs="Arial"/>
          <w:sz w:val="24"/>
        </w:rPr>
      </w:pPr>
      <w:r w:rsidRPr="0040323D">
        <w:rPr>
          <w:rFonts w:asciiTheme="minorEastAsia" w:eastAsiaTheme="minorEastAsia" w:hAnsiTheme="minorEastAsia" w:cs="Arial" w:hint="eastAsia"/>
          <w:sz w:val="24"/>
        </w:rPr>
        <w:t>当存在托管账户净应收额时，基金管理人负责将托管账户净应收额在</w:t>
      </w:r>
      <w:r w:rsidRPr="0040323D">
        <w:rPr>
          <w:rFonts w:asciiTheme="minorEastAsia" w:eastAsiaTheme="minorEastAsia" w:hAnsiTheme="minorEastAsia" w:cs="Arial"/>
          <w:sz w:val="24"/>
        </w:rPr>
        <w:t>T日15:00前从“注册登记清算账户”划到基金托管账户；当存在托管账户净应付额时，基金管理人应在T-1日将划款指令发送给基金托管人，基金托管人按基金管理人的划款指令将托管账户净应付额在T日12:00之前</w:t>
      </w:r>
      <w:r w:rsidRPr="0040323D">
        <w:rPr>
          <w:rFonts w:asciiTheme="minorEastAsia" w:eastAsiaTheme="minorEastAsia" w:hAnsiTheme="minorEastAsia" w:cs="Arial" w:hint="eastAsia"/>
          <w:sz w:val="24"/>
        </w:rPr>
        <w:t>划往基金清算账户。</w:t>
      </w:r>
    </w:p>
    <w:p w14:paraId="63750804"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（五）基金转换</w:t>
      </w:r>
    </w:p>
    <w:p w14:paraId="1BC15DB1" w14:textId="77777777" w:rsidR="009D164B" w:rsidRPr="0040323D" w:rsidRDefault="00AF3B6B">
      <w:pPr>
        <w:adjustRightInd w:val="0"/>
        <w:snapToGrid w:val="0"/>
        <w:spacing w:before="240" w:after="240" w:line="276" w:lineRule="auto"/>
        <w:ind w:firstLine="420"/>
        <w:rPr>
          <w:rFonts w:asciiTheme="minorEastAsia" w:eastAsiaTheme="minorEastAsia" w:hAnsiTheme="minorEastAsia" w:cs="Arial"/>
          <w:sz w:val="24"/>
        </w:rPr>
      </w:pPr>
      <w:r w:rsidRPr="0040323D">
        <w:rPr>
          <w:rFonts w:asciiTheme="minorEastAsia" w:eastAsiaTheme="minorEastAsia" w:hAnsiTheme="minorEastAsia" w:cs="Arial"/>
          <w:sz w:val="24"/>
        </w:rPr>
        <w:t>1.在本基金与基金管理人管理的其它基金开展转换业务之前，基金管理人应函告基金托管人并就相关事宜进行协商。</w:t>
      </w:r>
    </w:p>
    <w:p w14:paraId="643419C7" w14:textId="77777777" w:rsidR="009D164B" w:rsidRPr="0040323D" w:rsidRDefault="00AF3B6B">
      <w:pPr>
        <w:adjustRightInd w:val="0"/>
        <w:snapToGrid w:val="0"/>
        <w:spacing w:before="240" w:after="240" w:line="276" w:lineRule="auto"/>
        <w:ind w:firstLine="420"/>
        <w:rPr>
          <w:rFonts w:asciiTheme="minorEastAsia" w:eastAsiaTheme="minorEastAsia" w:hAnsiTheme="minorEastAsia" w:cs="Arial"/>
          <w:sz w:val="24"/>
        </w:rPr>
      </w:pPr>
      <w:r w:rsidRPr="0040323D">
        <w:rPr>
          <w:rFonts w:asciiTheme="minorEastAsia" w:eastAsiaTheme="minorEastAsia" w:hAnsiTheme="minorEastAsia" w:cs="Arial"/>
          <w:sz w:val="24"/>
        </w:rPr>
        <w:t>2.基金托管人将根据基金管理人传送的基金转换数据进行账务处理，</w:t>
      </w:r>
      <w:r w:rsidRPr="0040323D">
        <w:rPr>
          <w:rFonts w:asciiTheme="minorEastAsia" w:eastAsiaTheme="minorEastAsia" w:hAnsiTheme="minorEastAsia" w:cs="Arial" w:hint="eastAsia"/>
          <w:sz w:val="24"/>
        </w:rPr>
        <w:t>具体资金清算和数据传递的时间、程序及托管协议当事人承担的权责按基金管理人届时的公告执行。</w:t>
      </w:r>
    </w:p>
    <w:p w14:paraId="3DCDD643" w14:textId="77777777" w:rsidR="009D164B" w:rsidRPr="0040323D" w:rsidRDefault="00AF3B6B">
      <w:pPr>
        <w:adjustRightInd w:val="0"/>
        <w:snapToGrid w:val="0"/>
        <w:spacing w:before="240" w:after="240" w:line="276" w:lineRule="auto"/>
        <w:ind w:firstLine="420"/>
        <w:rPr>
          <w:rFonts w:asciiTheme="minorEastAsia" w:eastAsiaTheme="minorEastAsia" w:hAnsiTheme="minorEastAsia" w:cs="Arial"/>
          <w:sz w:val="24"/>
        </w:rPr>
      </w:pPr>
      <w:r w:rsidRPr="0040323D">
        <w:rPr>
          <w:rFonts w:asciiTheme="minorEastAsia" w:eastAsiaTheme="minorEastAsia" w:hAnsiTheme="minorEastAsia" w:cs="Arial"/>
          <w:sz w:val="24"/>
        </w:rPr>
        <w:t>3.本基金开展基金转换业务应按相关法律法规规定及《基金合同》的约定进行公告。</w:t>
      </w:r>
    </w:p>
    <w:p w14:paraId="1CA1A28E"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（六）基金现金分红</w:t>
      </w:r>
    </w:p>
    <w:p w14:paraId="7FE5EFBC"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1.基金管理人确定分红方案通知基金托管人，双方核定后</w:t>
      </w:r>
      <w:r w:rsidRPr="0040323D">
        <w:rPr>
          <w:rFonts w:asciiTheme="minorEastAsia" w:eastAsiaTheme="minorEastAsia" w:hAnsiTheme="minorEastAsia" w:hint="eastAsia"/>
          <w:sz w:val="24"/>
          <w:szCs w:val="18"/>
        </w:rPr>
        <w:t>依照《信息披露办法》的有关规定在中国证监会规定媒介上公告</w:t>
      </w:r>
      <w:r w:rsidRPr="0040323D">
        <w:rPr>
          <w:rFonts w:asciiTheme="minorEastAsia" w:eastAsiaTheme="minorEastAsia" w:hAnsiTheme="minorEastAsia" w:cs="Arial" w:hint="eastAsia"/>
          <w:sz w:val="24"/>
        </w:rPr>
        <w:t>。</w:t>
      </w:r>
    </w:p>
    <w:p w14:paraId="332AEA72"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lastRenderedPageBreak/>
        <w:t>2.基金托管人和基金管理人对基金分红进行账务处理并核对后，基金管理人向基金托管人发送现金红利的划款指令，基金托管人应及时将资金划入专用账户。</w:t>
      </w:r>
    </w:p>
    <w:p w14:paraId="1070E7AA"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3.基金管理人在下达指令时，应给基金托管人留出必需的划款时间。</w:t>
      </w:r>
    </w:p>
    <w:p w14:paraId="56742CD6"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（七）投资银行存款的特别约定</w:t>
      </w:r>
    </w:p>
    <w:p w14:paraId="41E903E8"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t>1.本基金投资银行存款前，基金管理人应与存款银行签订具体存款协议，包括但不限于以下内容：</w:t>
      </w:r>
    </w:p>
    <w:p w14:paraId="23479FEB" w14:textId="09AD09C8"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Pr="0040323D">
        <w:rPr>
          <w:rFonts w:asciiTheme="minorEastAsia" w:eastAsiaTheme="minorEastAsia" w:hAnsiTheme="minorEastAsia" w:cs="Arial"/>
          <w:sz w:val="24"/>
        </w:rPr>
        <w:t>1）存款账户必须以本基金名义开立</w:t>
      </w:r>
      <w:r w:rsidRPr="0040323D">
        <w:rPr>
          <w:rFonts w:asciiTheme="minorEastAsia" w:eastAsiaTheme="minorEastAsia" w:hAnsiTheme="minorEastAsia" w:cs="Arial" w:hint="eastAsia"/>
          <w:sz w:val="24"/>
        </w:rPr>
        <w:t>，并将基金托管人为本基金开立的基金银行账户指定为唯一回款账户，任何情况下，存款银行都不得将存款投资本息划往任何其他账户。</w:t>
      </w:r>
    </w:p>
    <w:p w14:paraId="0DCEBC89"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Pr="0040323D">
        <w:rPr>
          <w:rFonts w:asciiTheme="minorEastAsia" w:eastAsiaTheme="minorEastAsia" w:hAnsiTheme="minorEastAsia" w:cs="Arial"/>
          <w:sz w:val="24"/>
        </w:rPr>
        <w:t>2）存款银行不得接受基金管理人或基金托管人任何一方单方面提出的对存款进行更名、转让、挂失、质押、担保、撤销、变更印鉴及回款账户信息等可能导致财产转移的操作申请。</w:t>
      </w:r>
    </w:p>
    <w:p w14:paraId="4F239628"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Pr="0040323D">
        <w:rPr>
          <w:rFonts w:asciiTheme="minorEastAsia" w:eastAsiaTheme="minorEastAsia" w:hAnsiTheme="minorEastAsia" w:cs="Arial"/>
          <w:sz w:val="24"/>
        </w:rPr>
        <w:t>3）约定存款证实书的具体传递交接方式及交接期限。</w:t>
      </w:r>
    </w:p>
    <w:p w14:paraId="234453D3"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Pr="0040323D">
        <w:rPr>
          <w:rFonts w:asciiTheme="minorEastAsia" w:eastAsiaTheme="minorEastAsia" w:hAnsiTheme="minorEastAsia" w:cs="Arial"/>
          <w:sz w:val="24"/>
        </w:rPr>
        <w:t>4）资金划转过程中需要使用存款银行过渡账户的，存款银行须保证资金在过渡账户中不出现滞留，不被挪用。</w:t>
      </w:r>
    </w:p>
    <w:p w14:paraId="0F50909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0C7702F" w14:textId="4E5D05F6"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 xml:space="preserve">3. </w:t>
      </w:r>
      <w:r w:rsidRPr="0040323D">
        <w:rPr>
          <w:rFonts w:asciiTheme="minorEastAsia" w:eastAsia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1E277C90" w14:textId="766BC2B0" w:rsidR="009D164B"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提示管理人尽量避免在此类银行进行存款投资；（2）在定期报告中，对未按约定送达托管人保管的实物凭证信息进行规定范围信息披露；（3）未送达实物凭证超过送单截止日后30个</w:t>
      </w:r>
      <w:r w:rsidRPr="0040323D">
        <w:rPr>
          <w:rFonts w:asciiTheme="minorEastAsia" w:eastAsiaTheme="minorEastAsia" w:hAnsiTheme="minorEastAsia" w:cs="Arial" w:hint="eastAsia"/>
          <w:sz w:val="24"/>
        </w:rPr>
        <w:t>工作日，且累计超过</w:t>
      </w:r>
      <w:r w:rsidRPr="0040323D">
        <w:rPr>
          <w:rFonts w:asciiTheme="minorEastAsia" w:eastAsiaTheme="minorEastAsia" w:hAnsiTheme="minorEastAsia" w:cs="Arial"/>
          <w:sz w:val="24"/>
        </w:rPr>
        <w:t>3笔（含）以上的，部分或全部暂停配合管理人办理后续新增存款投资业务，直至实物凭证送达托管</w:t>
      </w:r>
      <w:r w:rsidRPr="0040323D">
        <w:rPr>
          <w:rFonts w:asciiTheme="minorEastAsia" w:eastAsiaTheme="minorEastAsia" w:hAnsiTheme="minorEastAsia" w:cs="Arial" w:hint="eastAsia"/>
          <w:sz w:val="24"/>
        </w:rPr>
        <w:t>人</w:t>
      </w:r>
      <w:r w:rsidR="00AB418C">
        <w:rPr>
          <w:rFonts w:asciiTheme="minorEastAsia" w:eastAsiaTheme="minorEastAsia" w:hAnsiTheme="minorEastAsia" w:cs="Arial" w:hint="eastAsia"/>
          <w:sz w:val="24"/>
        </w:rPr>
        <w:t>处</w:t>
      </w:r>
      <w:r w:rsidRPr="0040323D">
        <w:rPr>
          <w:rFonts w:asciiTheme="minorEastAsia" w:eastAsiaTheme="minorEastAsia" w:hAnsiTheme="minorEastAsia" w:cs="Arial" w:hint="eastAsia"/>
          <w:sz w:val="24"/>
        </w:rPr>
        <w:t>保管后解除。实物凭证未送达但存款本</w:t>
      </w:r>
      <w:r w:rsidRPr="0040323D">
        <w:rPr>
          <w:rFonts w:asciiTheme="minorEastAsia" w:eastAsiaTheme="minorEastAsia" w:hAnsiTheme="minorEastAsia" w:cs="Arial" w:hint="eastAsia"/>
          <w:sz w:val="24"/>
        </w:rPr>
        <w:lastRenderedPageBreak/>
        <w:t>息已安全划回托管账户的，以及因发生特殊情况由管理人提供相关书面说明并重新承诺送单截止时间的，可剔除不计。</w:t>
      </w:r>
    </w:p>
    <w:p w14:paraId="4D660D96" w14:textId="2155CA30" w:rsidR="00BE38F9" w:rsidRPr="00F57A60" w:rsidRDefault="00BE38F9" w:rsidP="00985EE9">
      <w:pPr>
        <w:adjustRightInd w:val="0"/>
        <w:snapToGrid w:val="0"/>
        <w:spacing w:before="240" w:after="240" w:line="276" w:lineRule="auto"/>
        <w:ind w:firstLineChars="200" w:firstLine="480"/>
        <w:rPr>
          <w:rFonts w:asciiTheme="minorEastAsia" w:eastAsiaTheme="minorEastAsia" w:hAnsiTheme="minorEastAsia" w:cs="Arial"/>
          <w:sz w:val="24"/>
        </w:rPr>
      </w:pPr>
      <w:r w:rsidRPr="00F57A60">
        <w:rPr>
          <w:rFonts w:asciiTheme="minorEastAsia" w:eastAsiaTheme="minorEastAsia" w:hAnsiTheme="minorEastAsia" w:cs="Arial" w:hint="eastAsia"/>
          <w:sz w:val="24"/>
        </w:rPr>
        <w:t>（八）</w:t>
      </w:r>
      <w:r w:rsidR="00817032">
        <w:rPr>
          <w:rFonts w:asciiTheme="minorEastAsia" w:eastAsiaTheme="minorEastAsia" w:hAnsiTheme="minorEastAsia" w:cs="Arial" w:hint="eastAsia"/>
          <w:sz w:val="24"/>
        </w:rPr>
        <w:t>本基金</w:t>
      </w:r>
      <w:r w:rsidRPr="00F57A60">
        <w:rPr>
          <w:rFonts w:asciiTheme="minorEastAsia" w:eastAsiaTheme="minorEastAsia" w:hAnsiTheme="minorEastAsia" w:cs="Arial" w:hint="eastAsia"/>
          <w:sz w:val="24"/>
        </w:rPr>
        <w:t>通过第三</w:t>
      </w:r>
      <w:proofErr w:type="gramStart"/>
      <w:r w:rsidRPr="00F57A60">
        <w:rPr>
          <w:rFonts w:asciiTheme="minorEastAsia" w:eastAsiaTheme="minorEastAsia" w:hAnsiTheme="minorEastAsia" w:cs="Arial" w:hint="eastAsia"/>
          <w:sz w:val="24"/>
        </w:rPr>
        <w:t>方销售</w:t>
      </w:r>
      <w:proofErr w:type="gramEnd"/>
      <w:r w:rsidRPr="00F57A60">
        <w:rPr>
          <w:rFonts w:asciiTheme="minorEastAsia" w:eastAsiaTheme="minorEastAsia" w:hAnsiTheme="minorEastAsia" w:cs="Arial" w:hint="eastAsia"/>
          <w:sz w:val="24"/>
        </w:rPr>
        <w:t>机构参与开放式基金投资的特别约定</w:t>
      </w:r>
    </w:p>
    <w:p w14:paraId="24E97E71" w14:textId="7839704D" w:rsidR="00985EE9" w:rsidRPr="00F57A60" w:rsidRDefault="00BE38F9" w:rsidP="00985EE9">
      <w:pPr>
        <w:adjustRightInd w:val="0"/>
        <w:snapToGrid w:val="0"/>
        <w:spacing w:before="240" w:after="240" w:line="276" w:lineRule="auto"/>
        <w:ind w:firstLineChars="200" w:firstLine="480"/>
        <w:rPr>
          <w:rFonts w:asciiTheme="minorEastAsia" w:eastAsiaTheme="minorEastAsia" w:hAnsiTheme="minorEastAsia" w:cs="Arial"/>
          <w:sz w:val="24"/>
        </w:rPr>
      </w:pPr>
      <w:r w:rsidRPr="00F57A60">
        <w:rPr>
          <w:rFonts w:asciiTheme="minorEastAsia" w:eastAsiaTheme="minorEastAsia" w:hAnsiTheme="minorEastAsia" w:cs="Arial" w:hint="eastAsia"/>
          <w:sz w:val="24"/>
        </w:rPr>
        <w:t>本</w:t>
      </w:r>
      <w:r w:rsidR="00817032">
        <w:rPr>
          <w:rFonts w:asciiTheme="minorEastAsia" w:eastAsiaTheme="minorEastAsia" w:hAnsiTheme="minorEastAsia" w:cs="Arial" w:hint="eastAsia"/>
          <w:sz w:val="24"/>
        </w:rPr>
        <w:t>基金</w:t>
      </w:r>
      <w:r w:rsidRPr="00F57A60">
        <w:rPr>
          <w:rFonts w:asciiTheme="minorEastAsia" w:eastAsiaTheme="minorEastAsia" w:hAnsiTheme="minorEastAsia" w:cs="Arial" w:hint="eastAsia"/>
          <w:sz w:val="24"/>
        </w:rPr>
        <w:t>可以通过第三</w:t>
      </w:r>
      <w:proofErr w:type="gramStart"/>
      <w:r w:rsidRPr="00F57A60">
        <w:rPr>
          <w:rFonts w:asciiTheme="minorEastAsia" w:eastAsiaTheme="minorEastAsia" w:hAnsiTheme="minorEastAsia" w:cs="Arial" w:hint="eastAsia"/>
          <w:sz w:val="24"/>
        </w:rPr>
        <w:t>方基金</w:t>
      </w:r>
      <w:proofErr w:type="gramEnd"/>
      <w:r w:rsidRPr="00F57A60">
        <w:rPr>
          <w:rFonts w:asciiTheme="minorEastAsia" w:eastAsiaTheme="minorEastAsia" w:hAnsiTheme="minorEastAsia" w:cs="Arial" w:hint="eastAsia"/>
          <w:sz w:val="24"/>
        </w:rPr>
        <w:t>销售机构渠道投资开放式基金。为维护</w:t>
      </w:r>
      <w:r w:rsidR="008C58F0">
        <w:rPr>
          <w:rFonts w:asciiTheme="minorEastAsia" w:eastAsiaTheme="minorEastAsia" w:hAnsiTheme="minorEastAsia" w:cs="Arial" w:hint="eastAsia"/>
          <w:sz w:val="24"/>
        </w:rPr>
        <w:t>基金份额</w:t>
      </w:r>
      <w:r w:rsidRPr="00F57A60">
        <w:rPr>
          <w:rFonts w:asciiTheme="minorEastAsia" w:eastAsiaTheme="minorEastAsia" w:hAnsiTheme="minorEastAsia" w:cs="Arial" w:hint="eastAsia"/>
          <w:sz w:val="24"/>
        </w:rPr>
        <w:t>持有人利益、保障资产安全，</w:t>
      </w:r>
      <w:r w:rsidR="008C58F0">
        <w:rPr>
          <w:rFonts w:asciiTheme="minorEastAsia" w:eastAsiaTheme="minorEastAsia" w:hAnsiTheme="minorEastAsia" w:cs="Arial" w:hint="eastAsia"/>
          <w:sz w:val="24"/>
        </w:rPr>
        <w:t>基金</w:t>
      </w:r>
      <w:r w:rsidRPr="00F57A60">
        <w:rPr>
          <w:rFonts w:asciiTheme="minorEastAsia" w:eastAsiaTheme="minorEastAsia" w:hAnsiTheme="minorEastAsia" w:cs="Arial" w:hint="eastAsia"/>
          <w:sz w:val="24"/>
        </w:rPr>
        <w:t>管理人应负责制订选择第三</w:t>
      </w:r>
      <w:proofErr w:type="gramStart"/>
      <w:r w:rsidRPr="00F57A60">
        <w:rPr>
          <w:rFonts w:asciiTheme="minorEastAsia" w:eastAsiaTheme="minorEastAsia" w:hAnsiTheme="minorEastAsia" w:cs="Arial" w:hint="eastAsia"/>
          <w:sz w:val="24"/>
        </w:rPr>
        <w:t>方基金</w:t>
      </w:r>
      <w:proofErr w:type="gramEnd"/>
      <w:r w:rsidRPr="00F57A60">
        <w:rPr>
          <w:rFonts w:asciiTheme="minorEastAsia" w:eastAsiaTheme="minorEastAsia" w:hAnsiTheme="minorEastAsia" w:cs="Arial" w:hint="eastAsia"/>
          <w:sz w:val="24"/>
        </w:rPr>
        <w:t>销售机构的标准和程序，并据此选择第三</w:t>
      </w:r>
      <w:proofErr w:type="gramStart"/>
      <w:r w:rsidRPr="00F57A60">
        <w:rPr>
          <w:rFonts w:asciiTheme="minorEastAsia" w:eastAsiaTheme="minorEastAsia" w:hAnsiTheme="minorEastAsia" w:cs="Arial" w:hint="eastAsia"/>
          <w:sz w:val="24"/>
        </w:rPr>
        <w:t>方销售</w:t>
      </w:r>
      <w:proofErr w:type="gramEnd"/>
      <w:r w:rsidRPr="00F57A60">
        <w:rPr>
          <w:rFonts w:asciiTheme="minorEastAsia" w:eastAsiaTheme="minorEastAsia" w:hAnsiTheme="minorEastAsia" w:cs="Arial" w:hint="eastAsia"/>
          <w:sz w:val="24"/>
        </w:rPr>
        <w:t>机构。对于第三</w:t>
      </w:r>
      <w:proofErr w:type="gramStart"/>
      <w:r w:rsidRPr="00F57A60">
        <w:rPr>
          <w:rFonts w:asciiTheme="minorEastAsia" w:eastAsiaTheme="minorEastAsia" w:hAnsiTheme="minorEastAsia" w:cs="Arial" w:hint="eastAsia"/>
          <w:sz w:val="24"/>
        </w:rPr>
        <w:t>方基金</w:t>
      </w:r>
      <w:proofErr w:type="gramEnd"/>
      <w:r w:rsidRPr="00F57A60">
        <w:rPr>
          <w:rFonts w:asciiTheme="minorEastAsia" w:eastAsiaTheme="minorEastAsia" w:hAnsiTheme="minorEastAsia" w:cs="Arial" w:hint="eastAsia"/>
          <w:sz w:val="24"/>
        </w:rPr>
        <w:t>销售机构原因给本</w:t>
      </w:r>
      <w:r w:rsidR="008C58F0">
        <w:rPr>
          <w:rFonts w:asciiTheme="minorEastAsia" w:eastAsiaTheme="minorEastAsia" w:hAnsiTheme="minorEastAsia" w:cs="Arial" w:hint="eastAsia"/>
          <w:sz w:val="24"/>
        </w:rPr>
        <w:t>基金</w:t>
      </w:r>
      <w:r w:rsidRPr="00F57A60">
        <w:rPr>
          <w:rFonts w:asciiTheme="minorEastAsia" w:eastAsiaTheme="minorEastAsia" w:hAnsiTheme="minorEastAsia" w:cs="Arial" w:hint="eastAsia"/>
          <w:sz w:val="24"/>
        </w:rPr>
        <w:t>造成损失的，相关责任由</w:t>
      </w:r>
      <w:r w:rsidR="008C58F0">
        <w:rPr>
          <w:rFonts w:asciiTheme="minorEastAsia" w:eastAsiaTheme="minorEastAsia" w:hAnsiTheme="minorEastAsia" w:cs="Arial" w:hint="eastAsia"/>
          <w:sz w:val="24"/>
        </w:rPr>
        <w:t>基金</w:t>
      </w:r>
      <w:r w:rsidRPr="00F57A60">
        <w:rPr>
          <w:rFonts w:asciiTheme="minorEastAsia" w:eastAsiaTheme="minorEastAsia" w:hAnsiTheme="minorEastAsia" w:cs="Arial" w:hint="eastAsia"/>
          <w:sz w:val="24"/>
        </w:rPr>
        <w:t>管理人承担。</w:t>
      </w:r>
    </w:p>
    <w:p w14:paraId="1F18CD41" w14:textId="77777777" w:rsidR="00985EE9" w:rsidRPr="00985EE9" w:rsidRDefault="00985EE9">
      <w:pPr>
        <w:adjustRightInd w:val="0"/>
        <w:snapToGrid w:val="0"/>
        <w:spacing w:before="240" w:after="240" w:line="276" w:lineRule="auto"/>
        <w:ind w:firstLineChars="200" w:firstLine="480"/>
        <w:rPr>
          <w:rFonts w:asciiTheme="minorEastAsia" w:eastAsiaTheme="minorEastAsia" w:hAnsiTheme="minorEastAsia" w:cs="Arial"/>
          <w:sz w:val="24"/>
        </w:rPr>
      </w:pPr>
    </w:p>
    <w:p w14:paraId="6BE270B5"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95" w:name="_Toc124325892"/>
      <w:r w:rsidRPr="0040323D">
        <w:rPr>
          <w:rFonts w:asciiTheme="minorEastAsia" w:eastAsiaTheme="minorEastAsia" w:hAnsiTheme="minorEastAsia" w:hint="eastAsia"/>
          <w:sz w:val="30"/>
        </w:rPr>
        <w:t>八、基金资产净值计算和会计核算</w:t>
      </w:r>
      <w:bookmarkEnd w:id="95"/>
    </w:p>
    <w:p w14:paraId="690ACC22"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（一）基金资产净值的计算、复核与完成的时间及程序</w:t>
      </w:r>
    </w:p>
    <w:p w14:paraId="5E462245" w14:textId="14072516" w:rsidR="009D164B" w:rsidRPr="0040323D" w:rsidRDefault="00AF3B6B" w:rsidP="00B37B14">
      <w:pPr>
        <w:adjustRightInd w:val="0"/>
        <w:snapToGrid w:val="0"/>
        <w:spacing w:before="240" w:after="240" w:line="276" w:lineRule="auto"/>
        <w:ind w:firstLineChars="200" w:firstLine="480"/>
        <w:rPr>
          <w:rFonts w:asciiTheme="minorEastAsia" w:eastAsiaTheme="minorEastAsia" w:hAnsiTheme="minorEastAsia" w:cs="Arial"/>
          <w:bCs/>
          <w:sz w:val="24"/>
        </w:rPr>
      </w:pPr>
      <w:bookmarkStart w:id="96" w:name="_Hlk111038432"/>
      <w:r w:rsidRPr="0040323D">
        <w:rPr>
          <w:rFonts w:asciiTheme="minorEastAsia" w:eastAsiaTheme="minorEastAsia" w:hAnsiTheme="minorEastAsia" w:cs="Arial"/>
          <w:sz w:val="24"/>
        </w:rPr>
        <w:t>1.基金资产净值是指基金资产总值减去</w:t>
      </w:r>
      <w:r w:rsidRPr="0040323D">
        <w:rPr>
          <w:rFonts w:asciiTheme="minorEastAsia" w:eastAsiaTheme="minorEastAsia" w:hAnsiTheme="minorEastAsia" w:cs="Arial" w:hint="eastAsia"/>
          <w:sz w:val="24"/>
        </w:rPr>
        <w:t>基金负债后的价值。</w:t>
      </w:r>
      <w:bookmarkStart w:id="97" w:name="_Hlk109911866"/>
      <w:bookmarkStart w:id="98" w:name="_Hlk118921570"/>
      <w:r w:rsidR="007E5319" w:rsidRPr="007E5319">
        <w:rPr>
          <w:rFonts w:asciiTheme="minorEastAsia" w:eastAsiaTheme="minorEastAsia" w:hAnsiTheme="minorEastAsia" w:cs="Arial" w:hint="eastAsia"/>
          <w:bCs/>
          <w:sz w:val="24"/>
        </w:rPr>
        <w:t>各类</w:t>
      </w:r>
      <w:r w:rsidR="007E5319" w:rsidRPr="007E5319">
        <w:rPr>
          <w:rFonts w:asciiTheme="minorEastAsia" w:eastAsiaTheme="minorEastAsia" w:hAnsiTheme="minorEastAsia" w:cs="Arial"/>
          <w:bCs/>
          <w:sz w:val="24"/>
        </w:rPr>
        <w:t>基金份额净值是按照每个</w:t>
      </w:r>
      <w:r w:rsidR="007E5319" w:rsidRPr="007E5319">
        <w:rPr>
          <w:rFonts w:asciiTheme="minorEastAsia" w:eastAsiaTheme="minorEastAsia" w:hAnsiTheme="minorEastAsia" w:cs="Arial" w:hint="eastAsia"/>
          <w:bCs/>
          <w:sz w:val="24"/>
        </w:rPr>
        <w:t>估值日闭市后</w:t>
      </w:r>
      <w:r w:rsidR="007E5319" w:rsidRPr="007E5319">
        <w:rPr>
          <w:rFonts w:asciiTheme="minorEastAsia" w:eastAsiaTheme="minorEastAsia" w:hAnsiTheme="minorEastAsia" w:cs="Arial"/>
          <w:bCs/>
          <w:sz w:val="24"/>
        </w:rPr>
        <w:t>，</w:t>
      </w:r>
      <w:r w:rsidR="007E5319" w:rsidRPr="007E5319">
        <w:rPr>
          <w:rFonts w:asciiTheme="minorEastAsia" w:eastAsiaTheme="minorEastAsia" w:hAnsiTheme="minorEastAsia" w:cs="Arial" w:hint="eastAsia"/>
          <w:bCs/>
          <w:sz w:val="24"/>
        </w:rPr>
        <w:t>该类</w:t>
      </w:r>
      <w:r w:rsidR="007E5319" w:rsidRPr="007E5319">
        <w:rPr>
          <w:rFonts w:asciiTheme="minorEastAsia" w:eastAsiaTheme="minorEastAsia" w:hAnsiTheme="minorEastAsia" w:cs="Arial"/>
          <w:bCs/>
          <w:sz w:val="24"/>
        </w:rPr>
        <w:t>基金资产净值除以当日</w:t>
      </w:r>
      <w:r w:rsidR="007E5319" w:rsidRPr="007E5319">
        <w:rPr>
          <w:rFonts w:asciiTheme="minorEastAsia" w:eastAsiaTheme="minorEastAsia" w:hAnsiTheme="minorEastAsia" w:cs="Arial" w:hint="eastAsia"/>
          <w:bCs/>
          <w:sz w:val="24"/>
        </w:rPr>
        <w:t>该类</w:t>
      </w:r>
      <w:r w:rsidR="007E5319" w:rsidRPr="007E5319">
        <w:rPr>
          <w:rFonts w:asciiTheme="minorEastAsia" w:eastAsiaTheme="minorEastAsia" w:hAnsiTheme="minorEastAsia" w:cs="Arial"/>
          <w:bCs/>
          <w:sz w:val="24"/>
        </w:rPr>
        <w:t>基金份额的余额数量计算，精确到</w:t>
      </w:r>
      <w:r w:rsidR="007E5319" w:rsidRPr="007E5319">
        <w:rPr>
          <w:rFonts w:asciiTheme="minorEastAsia" w:eastAsiaTheme="minorEastAsia" w:hAnsiTheme="minorEastAsia" w:cs="Arial" w:hint="eastAsia"/>
          <w:bCs/>
          <w:sz w:val="24"/>
        </w:rPr>
        <w:t>0.0001</w:t>
      </w:r>
      <w:r w:rsidR="007E5319" w:rsidRPr="007E5319">
        <w:rPr>
          <w:rFonts w:asciiTheme="minorEastAsia" w:eastAsiaTheme="minorEastAsia" w:hAnsiTheme="minorEastAsia" w:cs="Arial"/>
          <w:bCs/>
          <w:sz w:val="24"/>
        </w:rPr>
        <w:t>元，小数点后第</w:t>
      </w:r>
      <w:r w:rsidR="007E5319" w:rsidRPr="007E5319">
        <w:rPr>
          <w:rFonts w:asciiTheme="minorEastAsia" w:eastAsiaTheme="minorEastAsia" w:hAnsiTheme="minorEastAsia" w:cs="Arial" w:hint="eastAsia"/>
          <w:bCs/>
          <w:sz w:val="24"/>
        </w:rPr>
        <w:t>5</w:t>
      </w:r>
      <w:r w:rsidR="007E5319" w:rsidRPr="007E5319">
        <w:rPr>
          <w:rFonts w:asciiTheme="minorEastAsia" w:eastAsiaTheme="minorEastAsia" w:hAnsiTheme="minorEastAsia" w:cs="Arial"/>
          <w:bCs/>
          <w:sz w:val="24"/>
        </w:rPr>
        <w:t>位四舍五入</w:t>
      </w:r>
      <w:r w:rsidR="007E5319" w:rsidRPr="007E5319">
        <w:rPr>
          <w:rFonts w:asciiTheme="minorEastAsia" w:eastAsiaTheme="minorEastAsia" w:hAnsiTheme="minorEastAsia" w:cs="Arial" w:hint="eastAsia"/>
          <w:bCs/>
          <w:sz w:val="24"/>
        </w:rPr>
        <w:t>，由此产生的收益或损失归入基金财产</w:t>
      </w:r>
      <w:r w:rsidR="007E5319" w:rsidRPr="007E5319">
        <w:rPr>
          <w:rFonts w:asciiTheme="minorEastAsia" w:eastAsiaTheme="minorEastAsia" w:hAnsiTheme="minorEastAsia" w:cs="Arial"/>
          <w:bCs/>
          <w:sz w:val="24"/>
        </w:rPr>
        <w:t>。</w:t>
      </w:r>
      <w:r w:rsidR="007E5319" w:rsidRPr="007E5319">
        <w:rPr>
          <w:rFonts w:asciiTheme="minorEastAsia" w:eastAsiaTheme="minorEastAsia" w:hAnsiTheme="minorEastAsia" w:cs="Arial" w:hint="eastAsia"/>
          <w:bCs/>
          <w:sz w:val="24"/>
        </w:rPr>
        <w:t>基金管理人可以设立大额赎回情形下的净值精度应急调整机制。</w:t>
      </w:r>
      <w:r w:rsidR="007E5319" w:rsidRPr="007E5319">
        <w:rPr>
          <w:rFonts w:asciiTheme="minorEastAsia" w:eastAsiaTheme="minorEastAsia" w:hAnsiTheme="minorEastAsia" w:cs="Arial"/>
          <w:bCs/>
          <w:sz w:val="24"/>
        </w:rPr>
        <w:t>国家另有规定的，从其规定。</w:t>
      </w:r>
      <w:r w:rsidRPr="0040323D">
        <w:rPr>
          <w:rFonts w:asciiTheme="minorEastAsia" w:eastAsiaTheme="minorEastAsia" w:hAnsiTheme="minorEastAsia" w:cs="Arial"/>
          <w:bCs/>
          <w:sz w:val="24"/>
        </w:rPr>
        <w:t>本基金A类基金份额和C类基金份额将分别计算基金份额净值。</w:t>
      </w:r>
    </w:p>
    <w:p w14:paraId="439D9CD0" w14:textId="4E9635C1"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w:t>
      </w:r>
      <w:r w:rsidR="007E5319" w:rsidRPr="007E5319">
        <w:rPr>
          <w:bCs/>
          <w:color w:val="000000"/>
          <w:sz w:val="24"/>
          <w:szCs w:val="20"/>
        </w:rPr>
        <w:t xml:space="preserve"> </w:t>
      </w:r>
      <w:r w:rsidR="007E5319" w:rsidRPr="007E5319">
        <w:rPr>
          <w:rFonts w:asciiTheme="minorEastAsia" w:eastAsiaTheme="minorEastAsia" w:hAnsiTheme="minorEastAsia" w:cs="Arial"/>
          <w:bCs/>
          <w:sz w:val="24"/>
        </w:rPr>
        <w:t>基金管理人</w:t>
      </w:r>
      <w:proofErr w:type="gramStart"/>
      <w:r w:rsidR="007E5319" w:rsidRPr="007E5319">
        <w:rPr>
          <w:rFonts w:asciiTheme="minorEastAsia" w:eastAsiaTheme="minorEastAsia" w:hAnsiTheme="minorEastAsia" w:cs="Arial"/>
          <w:bCs/>
          <w:sz w:val="24"/>
        </w:rPr>
        <w:t>应每个</w:t>
      </w:r>
      <w:proofErr w:type="gramEnd"/>
      <w:r w:rsidR="007E5319" w:rsidRPr="007E5319">
        <w:rPr>
          <w:rFonts w:asciiTheme="minorEastAsia" w:eastAsiaTheme="minorEastAsia" w:hAnsiTheme="minorEastAsia" w:cs="Arial" w:hint="eastAsia"/>
          <w:bCs/>
          <w:sz w:val="24"/>
        </w:rPr>
        <w:t>估值</w:t>
      </w:r>
      <w:r w:rsidR="007E5319" w:rsidRPr="007E5319">
        <w:rPr>
          <w:rFonts w:asciiTheme="minorEastAsia" w:eastAsiaTheme="minorEastAsia" w:hAnsiTheme="minorEastAsia" w:cs="Arial"/>
          <w:bCs/>
          <w:sz w:val="24"/>
        </w:rPr>
        <w:t>日对基金资产估值</w:t>
      </w:r>
      <w:r w:rsidR="007E5319" w:rsidRPr="007E5319">
        <w:rPr>
          <w:rFonts w:asciiTheme="minorEastAsia" w:eastAsiaTheme="minorEastAsia" w:hAnsiTheme="minorEastAsia" w:cs="Arial" w:hint="eastAsia"/>
          <w:bCs/>
          <w:sz w:val="24"/>
        </w:rPr>
        <w:t>，</w:t>
      </w:r>
      <w:r w:rsidR="007E5319" w:rsidRPr="007E5319">
        <w:rPr>
          <w:rFonts w:asciiTheme="minorEastAsia" w:eastAsiaTheme="minorEastAsia" w:hAnsiTheme="minorEastAsia" w:cs="Arial"/>
          <w:bCs/>
          <w:sz w:val="24"/>
        </w:rPr>
        <w:t>但基金管理人根据法律法规或基金合同的规定暂停估值时除外。基金管理人每个</w:t>
      </w:r>
      <w:r w:rsidR="007E5319" w:rsidRPr="007E5319">
        <w:rPr>
          <w:rFonts w:asciiTheme="minorEastAsia" w:eastAsiaTheme="minorEastAsia" w:hAnsiTheme="minorEastAsia" w:cs="Arial" w:hint="eastAsia"/>
          <w:bCs/>
          <w:sz w:val="24"/>
        </w:rPr>
        <w:t>估值</w:t>
      </w:r>
      <w:r w:rsidR="007E5319" w:rsidRPr="007E5319">
        <w:rPr>
          <w:rFonts w:asciiTheme="minorEastAsia" w:eastAsiaTheme="minorEastAsia" w:hAnsiTheme="minorEastAsia" w:cs="Arial"/>
          <w:bCs/>
          <w:sz w:val="24"/>
        </w:rPr>
        <w:t>日对基金资产估值后，将</w:t>
      </w:r>
      <w:r w:rsidR="007E5319" w:rsidRPr="007E5319">
        <w:rPr>
          <w:rFonts w:asciiTheme="minorEastAsia" w:eastAsiaTheme="minorEastAsia" w:hAnsiTheme="minorEastAsia" w:cs="Arial" w:hint="eastAsia"/>
          <w:bCs/>
          <w:sz w:val="24"/>
        </w:rPr>
        <w:t>各类</w:t>
      </w:r>
      <w:r w:rsidR="007E5319" w:rsidRPr="007E5319">
        <w:rPr>
          <w:rFonts w:asciiTheme="minorEastAsia" w:eastAsiaTheme="minorEastAsia" w:hAnsiTheme="minorEastAsia" w:cs="Arial"/>
          <w:bCs/>
          <w:sz w:val="24"/>
        </w:rPr>
        <w:t>基金份额净值结果发送基金托管人，经基金托管人复核无误后，由基金管理人按照规定对外公布。</w:t>
      </w:r>
    </w:p>
    <w:bookmarkEnd w:id="97"/>
    <w:p w14:paraId="1095B90C"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（二）基金资产估值方法和特殊情形的处理</w:t>
      </w:r>
    </w:p>
    <w:p w14:paraId="5AE8C0E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bookmarkStart w:id="99" w:name="_Hlk109912061"/>
      <w:r w:rsidRPr="0040323D">
        <w:rPr>
          <w:rFonts w:asciiTheme="minorEastAsia" w:eastAsiaTheme="minorEastAsia" w:hAnsiTheme="minorEastAsia" w:cs="Arial"/>
          <w:sz w:val="24"/>
        </w:rPr>
        <w:t>1.估值对象</w:t>
      </w:r>
    </w:p>
    <w:p w14:paraId="2E3D1298" w14:textId="7FD72E34" w:rsidR="009D164B" w:rsidRPr="0040323D" w:rsidRDefault="007E5319">
      <w:pPr>
        <w:adjustRightInd w:val="0"/>
        <w:snapToGrid w:val="0"/>
        <w:spacing w:before="240" w:after="240" w:line="276" w:lineRule="auto"/>
        <w:ind w:firstLineChars="200" w:firstLine="480"/>
        <w:rPr>
          <w:rFonts w:asciiTheme="minorEastAsia" w:eastAsiaTheme="minorEastAsia" w:hAnsiTheme="minorEastAsia" w:cs="Arial"/>
          <w:bCs/>
          <w:sz w:val="24"/>
        </w:rPr>
      </w:pPr>
      <w:r w:rsidRPr="007E5319">
        <w:rPr>
          <w:rFonts w:asciiTheme="minorEastAsia" w:eastAsiaTheme="minorEastAsia" w:hAnsiTheme="minorEastAsia" w:cs="Arial"/>
          <w:bCs/>
          <w:sz w:val="24"/>
        </w:rPr>
        <w:t>基金所拥有的股票、债券和银行存款本息、应收款项、</w:t>
      </w:r>
      <w:r w:rsidR="008C58F0" w:rsidRPr="00E90087">
        <w:rPr>
          <w:rFonts w:hint="eastAsia"/>
          <w:bCs/>
          <w:color w:val="000000"/>
          <w:sz w:val="24"/>
        </w:rPr>
        <w:t>其他基金份额、</w:t>
      </w:r>
      <w:r w:rsidRPr="007E5319">
        <w:rPr>
          <w:rFonts w:asciiTheme="minorEastAsia" w:eastAsiaTheme="minorEastAsia" w:hAnsiTheme="minorEastAsia" w:cs="Arial" w:hint="eastAsia"/>
          <w:bCs/>
          <w:sz w:val="24"/>
        </w:rPr>
        <w:t>资产支持证券、股指期货合约、国债期货合约、股票期权合约、信用衍生品、</w:t>
      </w:r>
      <w:r w:rsidRPr="007E5319">
        <w:rPr>
          <w:rFonts w:asciiTheme="minorEastAsia" w:eastAsiaTheme="minorEastAsia" w:hAnsiTheme="minorEastAsia" w:cs="Arial"/>
          <w:bCs/>
          <w:sz w:val="24"/>
        </w:rPr>
        <w:t>其它投资等资产及负债。</w:t>
      </w:r>
    </w:p>
    <w:p w14:paraId="1160646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2.估值原则</w:t>
      </w:r>
    </w:p>
    <w:p w14:paraId="4EA30F23" w14:textId="77777777" w:rsidR="007E5319" w:rsidRPr="007E5319" w:rsidRDefault="007E5319" w:rsidP="007E5319">
      <w:pPr>
        <w:adjustRightInd w:val="0"/>
        <w:snapToGrid w:val="0"/>
        <w:spacing w:before="240" w:after="240" w:line="276" w:lineRule="auto"/>
        <w:ind w:firstLineChars="200" w:firstLine="480"/>
        <w:rPr>
          <w:rFonts w:asciiTheme="minorEastAsia" w:eastAsiaTheme="minorEastAsia" w:hAnsiTheme="minorEastAsia" w:cs="Arial"/>
          <w:bCs/>
          <w:sz w:val="24"/>
        </w:rPr>
      </w:pPr>
      <w:r w:rsidRPr="007E5319">
        <w:rPr>
          <w:rFonts w:asciiTheme="minorEastAsia" w:eastAsiaTheme="minorEastAsia" w:hAnsiTheme="minorEastAsia" w:cs="Arial"/>
          <w:bCs/>
          <w:sz w:val="24"/>
        </w:rPr>
        <w:t>基金管理人在确定相关金融资产和金融负债的公允价值时，应符合《企业会计准则》、监管部门有关规定。</w:t>
      </w:r>
    </w:p>
    <w:p w14:paraId="608899F0" w14:textId="0B2F7BF4" w:rsidR="007E5319" w:rsidRPr="007E5319" w:rsidRDefault="007E5319" w:rsidP="007E5319">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（1）</w:t>
      </w:r>
      <w:r w:rsidRPr="007E5319">
        <w:rPr>
          <w:rFonts w:asciiTheme="minorEastAsia" w:eastAsiaTheme="minorEastAsia" w:hAnsiTheme="minorEastAsia" w:cs="Arial"/>
          <w:bCs/>
          <w:sz w:val="24"/>
        </w:rPr>
        <w:t>对存在活跃市场且能够获取相同资产或负债报价的投资品种，在估值日</w:t>
      </w:r>
      <w:r w:rsidRPr="007E5319">
        <w:rPr>
          <w:rFonts w:asciiTheme="minorEastAsia" w:eastAsiaTheme="minorEastAsia" w:hAnsiTheme="minorEastAsia" w:cs="Arial"/>
          <w:bCs/>
          <w:sz w:val="24"/>
        </w:rPr>
        <w:lastRenderedPageBreak/>
        <w:t>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3867F6D" w14:textId="77777777" w:rsidR="007E5319" w:rsidRPr="007E5319" w:rsidRDefault="007E5319" w:rsidP="007E5319">
      <w:pPr>
        <w:adjustRightInd w:val="0"/>
        <w:snapToGrid w:val="0"/>
        <w:spacing w:before="240" w:after="240" w:line="276" w:lineRule="auto"/>
        <w:ind w:firstLineChars="200" w:firstLine="480"/>
        <w:rPr>
          <w:rFonts w:asciiTheme="minorEastAsia" w:eastAsiaTheme="minorEastAsia" w:hAnsiTheme="minorEastAsia" w:cs="Arial"/>
          <w:bCs/>
          <w:sz w:val="24"/>
        </w:rPr>
      </w:pPr>
      <w:r w:rsidRPr="007E5319">
        <w:rPr>
          <w:rFonts w:asciiTheme="minorEastAsia" w:eastAsiaTheme="minorEastAsia" w:hAnsiTheme="minorEastAsia" w:cs="Arial"/>
          <w:bCs/>
          <w:sz w:val="24"/>
        </w:rPr>
        <w:t>与上述投资品种</w:t>
      </w:r>
      <w:r w:rsidRPr="007E5319">
        <w:rPr>
          <w:rFonts w:asciiTheme="minorEastAsia" w:eastAsiaTheme="minorEastAsia" w:hAnsiTheme="minorEastAsia" w:cs="Arial" w:hint="eastAsia"/>
          <w:bCs/>
          <w:sz w:val="24"/>
        </w:rPr>
        <w:t>相同</w:t>
      </w:r>
      <w:r w:rsidRPr="007E5319">
        <w:rPr>
          <w:rFonts w:asciiTheme="minorEastAsia" w:eastAsiaTheme="minorEastAsia" w:hAnsiTheme="minorEastAsia" w:cs="Arial"/>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9D36061" w14:textId="15BEDEAB" w:rsidR="007E5319" w:rsidRPr="007E5319" w:rsidRDefault="007E5319" w:rsidP="007E5319">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w:t>
      </w:r>
      <w:r w:rsidRPr="007E5319">
        <w:rPr>
          <w:rFonts w:asciiTheme="minorEastAsia" w:eastAsiaTheme="minorEastAsia" w:hAnsiTheme="minorEastAsia" w:cs="Arial"/>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D250C62" w14:textId="7EA9C939" w:rsidR="007E5319" w:rsidRPr="007E5319" w:rsidRDefault="007E5319" w:rsidP="007E5319">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（3）</w:t>
      </w:r>
      <w:r w:rsidRPr="007E5319">
        <w:rPr>
          <w:rFonts w:asciiTheme="minorEastAsia" w:eastAsiaTheme="minorEastAsia" w:hAnsiTheme="minorEastAsia" w:cs="Arial"/>
          <w:bCs/>
          <w:sz w:val="24"/>
        </w:rPr>
        <w:t>如经济环境发生重大变化或证券发行人发生影响证券价格的重大事件，使潜在估值调整对前一估值日的基金资产净值的影响在0.25%以上的，应对估值进行调整并确定公允价值。</w:t>
      </w:r>
    </w:p>
    <w:p w14:paraId="1E774C5C"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3.估值方法</w:t>
      </w:r>
    </w:p>
    <w:p w14:paraId="170829B1" w14:textId="376ABA37" w:rsidR="009D164B" w:rsidRPr="0040323D" w:rsidRDefault="00AF3B6B">
      <w:pPr>
        <w:spacing w:line="360" w:lineRule="auto"/>
        <w:ind w:firstLineChars="200" w:firstLine="480"/>
        <w:rPr>
          <w:rFonts w:asciiTheme="minorEastAsia" w:eastAsiaTheme="minorEastAsia" w:hAnsiTheme="minorEastAsia"/>
          <w:bCs/>
          <w:sz w:val="24"/>
        </w:rPr>
      </w:pPr>
      <w:r w:rsidRPr="0040323D">
        <w:rPr>
          <w:rFonts w:asciiTheme="minorEastAsia" w:eastAsiaTheme="minorEastAsia" w:hAnsiTheme="minorEastAsia" w:hint="eastAsia"/>
          <w:bCs/>
          <w:sz w:val="24"/>
        </w:rPr>
        <w:t>（1）证券交易所上市的有价证券</w:t>
      </w:r>
      <w:r w:rsidR="00EF7549">
        <w:rPr>
          <w:rFonts w:hint="eastAsia"/>
          <w:bCs/>
          <w:color w:val="000000"/>
          <w:sz w:val="24"/>
        </w:rPr>
        <w:t>（不包含交易所上市基金）</w:t>
      </w:r>
      <w:r w:rsidRPr="0040323D">
        <w:rPr>
          <w:rFonts w:asciiTheme="minorEastAsia" w:eastAsiaTheme="minorEastAsia" w:hAnsiTheme="minorEastAsia" w:hint="eastAsia"/>
          <w:bCs/>
          <w:sz w:val="24"/>
        </w:rPr>
        <w:t>的估值</w:t>
      </w:r>
    </w:p>
    <w:bookmarkEnd w:id="96"/>
    <w:bookmarkEnd w:id="99"/>
    <w:p w14:paraId="5EB67B1A" w14:textId="559A8E6F"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1）交易所上市的有价证券（包括股票等），以其估值日在证券交易所挂牌的市价（收盘价）估值；估值日无交易的，且最近交易日后经济环境未发生重大变化</w:t>
      </w:r>
      <w:r w:rsidRPr="00013F41">
        <w:rPr>
          <w:rFonts w:asciiTheme="minorEastAsia" w:eastAsiaTheme="minorEastAsia" w:hAnsiTheme="minorEastAsia" w:hint="eastAsia"/>
          <w:bCs/>
          <w:sz w:val="24"/>
        </w:rPr>
        <w:t>或</w:t>
      </w:r>
      <w:r w:rsidRPr="00013F41">
        <w:rPr>
          <w:rFonts w:asciiTheme="minorEastAsia" w:eastAsiaTheme="minorEastAsia" w:hAnsiTheme="minorEastAsia"/>
          <w:bCs/>
          <w:sz w:val="24"/>
        </w:rPr>
        <w:t>证券发行机构未发生影响证券价格的重大事件的，以最近交易日的市价（收盘价）估值；如最近交易日后经济环境发生了重大变化</w:t>
      </w:r>
      <w:r w:rsidRPr="00013F41">
        <w:rPr>
          <w:rFonts w:asciiTheme="minorEastAsia" w:eastAsiaTheme="minorEastAsia" w:hAnsiTheme="minorEastAsia" w:hint="eastAsia"/>
          <w:bCs/>
          <w:sz w:val="24"/>
        </w:rPr>
        <w:t>或</w:t>
      </w:r>
      <w:r w:rsidRPr="00013F41">
        <w:rPr>
          <w:rFonts w:asciiTheme="minorEastAsia" w:eastAsiaTheme="minorEastAsia" w:hAnsiTheme="minorEastAsia"/>
          <w:bCs/>
          <w:sz w:val="24"/>
        </w:rPr>
        <w:t>证券发行机构发生影响证券价格的重大事件的，可参考类似投资品种的现行市价及重大变化因素，调整最近交易市价，确定公允价格</w:t>
      </w:r>
      <w:r w:rsidRPr="00013F41">
        <w:rPr>
          <w:rFonts w:asciiTheme="minorEastAsia" w:eastAsiaTheme="minorEastAsia" w:hAnsiTheme="minorEastAsia" w:hint="eastAsia"/>
          <w:bCs/>
          <w:sz w:val="24"/>
        </w:rPr>
        <w:t>；</w:t>
      </w:r>
    </w:p>
    <w:p w14:paraId="199D7DDF" w14:textId="1B809E2F"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2）交易所上市交易或挂牌转让的不含权固定收益品种，选取估值日第三方估值机构提供的相应品种当日的估值净价进行估值；</w:t>
      </w:r>
    </w:p>
    <w:p w14:paraId="49F29D4B" w14:textId="74600DC3"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3）交易所上市交易或挂牌转让的含权固定收益品种，选取估值日第三方估值机构提供的相应品种当日的唯一估值净价或推荐估值净价进行估值；</w:t>
      </w:r>
    </w:p>
    <w:p w14:paraId="7B891272" w14:textId="4BD490C3"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4）</w:t>
      </w:r>
      <w:r w:rsidRPr="00013F41">
        <w:rPr>
          <w:rFonts w:asciiTheme="minorEastAsia" w:eastAsiaTheme="minorEastAsia" w:hAnsiTheme="minorEastAsia"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w:t>
      </w:r>
      <w:r w:rsidRPr="00013F41">
        <w:rPr>
          <w:rFonts w:asciiTheme="minorEastAsia" w:eastAsiaTheme="minorEastAsia" w:hAnsiTheme="minorEastAsia" w:hint="eastAsia"/>
          <w:bCs/>
          <w:sz w:val="24"/>
        </w:rPr>
        <w:lastRenderedPageBreak/>
        <w:t>现行市价及重大变化因素，调整最近交易市价，确定公允价格；</w:t>
      </w:r>
    </w:p>
    <w:p w14:paraId="54959533" w14:textId="12B42293"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hint="eastAsia"/>
          <w:bCs/>
          <w:sz w:val="24"/>
        </w:rPr>
        <w:t>5</w:t>
      </w:r>
      <w:r w:rsidRPr="00013F41">
        <w:rPr>
          <w:rFonts w:asciiTheme="minorEastAsia" w:eastAsiaTheme="minorEastAsia" w:hAnsiTheme="minorEastAsia"/>
          <w:bCs/>
          <w:sz w:val="24"/>
        </w:rPr>
        <w:t>）交易所上市不存在活跃市场的有价证券，采用估值技术确定公允价值。</w:t>
      </w:r>
      <w:r w:rsidRPr="00013F41">
        <w:rPr>
          <w:rFonts w:asciiTheme="minorEastAsia" w:eastAsiaTheme="minorEastAsia" w:hAnsiTheme="minorEastAsia" w:hint="eastAsia"/>
          <w:bCs/>
          <w:sz w:val="24"/>
        </w:rPr>
        <w:t>交易所市场挂牌转让</w:t>
      </w:r>
      <w:r w:rsidRPr="00013F41">
        <w:rPr>
          <w:rFonts w:asciiTheme="minorEastAsia" w:eastAsiaTheme="minorEastAsia" w:hAnsiTheme="minorEastAsia"/>
          <w:bCs/>
          <w:sz w:val="24"/>
        </w:rPr>
        <w:t>的资产支持证券，采用估值技术确定公允价值</w:t>
      </w:r>
      <w:r w:rsidRPr="00013F41">
        <w:rPr>
          <w:rFonts w:asciiTheme="minorEastAsia" w:eastAsiaTheme="minorEastAsia" w:hAnsiTheme="minorEastAsia" w:hint="eastAsia"/>
          <w:bCs/>
          <w:sz w:val="24"/>
        </w:rPr>
        <w:t>；</w:t>
      </w:r>
    </w:p>
    <w:p w14:paraId="0989B40D" w14:textId="6A7DB1A9"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13F41">
        <w:rPr>
          <w:rFonts w:asciiTheme="minorEastAsia" w:eastAsiaTheme="minorEastAsia" w:hAnsiTheme="minorEastAsia" w:hint="eastAsia"/>
          <w:bCs/>
          <w:sz w:val="24"/>
        </w:rPr>
        <w:t>市场活动</w:t>
      </w:r>
      <w:r w:rsidRPr="00013F41">
        <w:rPr>
          <w:rFonts w:asciiTheme="minorEastAsia" w:eastAsiaTheme="minorEastAsia" w:hAnsiTheme="minorEastAsia"/>
          <w:bCs/>
          <w:sz w:val="24"/>
        </w:rPr>
        <w:t>或市场活动很少的情况下，应采用估值技术确定其公允价值。</w:t>
      </w:r>
    </w:p>
    <w:p w14:paraId="02CD0721" w14:textId="28B551E0"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Pr="00013F41">
        <w:rPr>
          <w:rFonts w:asciiTheme="minorEastAsia" w:eastAsiaTheme="minorEastAsia" w:hAnsiTheme="minorEastAsia"/>
          <w:bCs/>
          <w:sz w:val="24"/>
        </w:rPr>
        <w:t>处于未上市期间的有价证券应区分如下情况处理：</w:t>
      </w:r>
    </w:p>
    <w:p w14:paraId="0E973D81" w14:textId="4D8E99A7"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1）送股、转增股、配股和公开增发的新股，按估值日在证券交易所挂牌的同一股票的估值方法估值；该日无交易的，以最近一日的市价（收盘价）估值；</w:t>
      </w:r>
    </w:p>
    <w:p w14:paraId="5B1F4067" w14:textId="145E5BA2"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2）首次公开发行未上市的股票、债券，采用估值技术确定公允价值，在估值技术难以可靠计量公允价值的情况下，按成本估值</w:t>
      </w:r>
      <w:r w:rsidRPr="00013F41">
        <w:rPr>
          <w:rFonts w:asciiTheme="minorEastAsia" w:eastAsiaTheme="minorEastAsia" w:hAnsiTheme="minorEastAsia" w:hint="eastAsia"/>
          <w:bCs/>
          <w:sz w:val="24"/>
        </w:rPr>
        <w:t>；</w:t>
      </w:r>
    </w:p>
    <w:p w14:paraId="58F68549" w14:textId="61602FF3"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4642182" w14:textId="1F9F5935" w:rsid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Pr="00013F41">
        <w:rPr>
          <w:rFonts w:asciiTheme="minorEastAsia" w:eastAsiaTheme="minorEastAsia" w:hAnsiTheme="minor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13F41">
        <w:rPr>
          <w:rFonts w:asciiTheme="minorEastAsia" w:eastAsiaTheme="minorEastAsia" w:hAnsiTheme="minorEastAsia" w:hint="eastAsia"/>
          <w:bCs/>
          <w:sz w:val="24"/>
        </w:rPr>
        <w:t>期</w:t>
      </w:r>
      <w:r w:rsidRPr="00013F41">
        <w:rPr>
          <w:rFonts w:asciiTheme="minorEastAsia" w:eastAsiaTheme="minorEastAsia" w:hAnsiTheme="minor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4ED4704" w14:textId="77777777" w:rsidR="00453EA8" w:rsidRDefault="00453EA8" w:rsidP="00453EA8">
      <w:pPr>
        <w:widowControl/>
        <w:adjustRightInd w:val="0"/>
        <w:snapToGrid w:val="0"/>
        <w:spacing w:line="360" w:lineRule="auto"/>
        <w:ind w:firstLineChars="200" w:firstLine="480"/>
        <w:rPr>
          <w:rFonts w:ascii="宋体" w:hAnsi="宋体" w:cs="Arial"/>
          <w:kern w:val="0"/>
          <w:sz w:val="24"/>
        </w:rPr>
      </w:pPr>
      <w:r w:rsidRPr="00222815">
        <w:rPr>
          <w:rFonts w:ascii="宋体" w:hAnsi="宋体" w:hint="eastAsia"/>
          <w:kern w:val="0"/>
          <w:sz w:val="24"/>
        </w:rPr>
        <w:t>（</w:t>
      </w:r>
      <w:r w:rsidRPr="00222815">
        <w:rPr>
          <w:rFonts w:ascii="宋体" w:hAnsi="宋体"/>
          <w:kern w:val="0"/>
          <w:sz w:val="24"/>
        </w:rPr>
        <w:t>4</w:t>
      </w:r>
      <w:r>
        <w:rPr>
          <w:rFonts w:ascii="宋体" w:hAnsi="宋体" w:cs="Arial" w:hint="eastAsia"/>
          <w:kern w:val="0"/>
          <w:sz w:val="24"/>
        </w:rPr>
        <w:t>）基金估值方法</w:t>
      </w:r>
    </w:p>
    <w:p w14:paraId="4DCA6900" w14:textId="77777777" w:rsidR="00453EA8" w:rsidRDefault="00453EA8" w:rsidP="00453EA8">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1）非上市基金估值</w:t>
      </w:r>
    </w:p>
    <w:p w14:paraId="692B0B46" w14:textId="77777777" w:rsidR="00453EA8" w:rsidRDefault="00453EA8" w:rsidP="00453EA8">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本基金投资的境内非上市基金，按所投资基金估值日的基金份额净值估值。</w:t>
      </w:r>
    </w:p>
    <w:p w14:paraId="335C7A4F" w14:textId="77777777" w:rsidR="00453EA8" w:rsidRDefault="00453EA8" w:rsidP="00453EA8">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2）上市基金估值</w:t>
      </w:r>
    </w:p>
    <w:p w14:paraId="7DCD0887" w14:textId="77777777" w:rsidR="00453EA8" w:rsidRDefault="00453EA8" w:rsidP="00453EA8">
      <w:pPr>
        <w:spacing w:line="360" w:lineRule="auto"/>
        <w:ind w:firstLineChars="200" w:firstLine="480"/>
        <w:rPr>
          <w:bCs/>
          <w:color w:val="000000"/>
          <w:sz w:val="24"/>
        </w:rPr>
      </w:pPr>
      <w:r>
        <w:rPr>
          <w:rFonts w:hint="eastAsia"/>
          <w:bCs/>
          <w:color w:val="000000"/>
          <w:sz w:val="24"/>
        </w:rPr>
        <w:t>①投资于交易所交易型开放式指数基金（</w:t>
      </w:r>
      <w:r>
        <w:rPr>
          <w:rFonts w:hint="eastAsia"/>
          <w:bCs/>
          <w:color w:val="000000"/>
          <w:sz w:val="24"/>
        </w:rPr>
        <w:t>ETF</w:t>
      </w:r>
      <w:r>
        <w:rPr>
          <w:rFonts w:hint="eastAsia"/>
          <w:bCs/>
          <w:color w:val="000000"/>
          <w:sz w:val="24"/>
        </w:rPr>
        <w:t>基金，不含</w:t>
      </w:r>
      <w:r>
        <w:rPr>
          <w:rFonts w:hint="eastAsia"/>
          <w:bCs/>
          <w:color w:val="000000"/>
          <w:sz w:val="24"/>
        </w:rPr>
        <w:t>ETF</w:t>
      </w:r>
      <w:r>
        <w:rPr>
          <w:rFonts w:hint="eastAsia"/>
          <w:bCs/>
          <w:color w:val="000000"/>
          <w:sz w:val="24"/>
        </w:rPr>
        <w:t>联接基金和货币</w:t>
      </w:r>
      <w:r>
        <w:rPr>
          <w:rFonts w:hint="eastAsia"/>
          <w:bCs/>
          <w:color w:val="000000"/>
          <w:sz w:val="24"/>
        </w:rPr>
        <w:t>E</w:t>
      </w:r>
      <w:r>
        <w:rPr>
          <w:bCs/>
          <w:color w:val="000000"/>
          <w:sz w:val="24"/>
        </w:rPr>
        <w:t>TF</w:t>
      </w:r>
      <w:r>
        <w:rPr>
          <w:rFonts w:hint="eastAsia"/>
          <w:bCs/>
          <w:color w:val="000000"/>
          <w:sz w:val="24"/>
        </w:rPr>
        <w:t>），按估值日所投资基金的收盘价进行估值。</w:t>
      </w:r>
    </w:p>
    <w:p w14:paraId="3DCD2F76" w14:textId="77777777" w:rsidR="00453EA8" w:rsidRDefault="00453EA8" w:rsidP="00453EA8">
      <w:pPr>
        <w:spacing w:line="360" w:lineRule="auto"/>
        <w:ind w:firstLineChars="200" w:firstLine="480"/>
        <w:rPr>
          <w:bCs/>
          <w:color w:val="000000"/>
          <w:sz w:val="24"/>
        </w:rPr>
      </w:pPr>
      <w:r>
        <w:rPr>
          <w:rFonts w:hint="eastAsia"/>
          <w:bCs/>
          <w:color w:val="000000"/>
          <w:sz w:val="24"/>
        </w:rPr>
        <w:t>②投资于境内上市开放式基金（</w:t>
      </w:r>
      <w:r>
        <w:rPr>
          <w:rFonts w:hint="eastAsia"/>
          <w:bCs/>
          <w:color w:val="000000"/>
          <w:sz w:val="24"/>
        </w:rPr>
        <w:t>LOF</w:t>
      </w:r>
      <w:r>
        <w:rPr>
          <w:rFonts w:hint="eastAsia"/>
          <w:bCs/>
          <w:color w:val="000000"/>
          <w:sz w:val="24"/>
        </w:rPr>
        <w:t>），按所投资基金估值日的份额净值进行</w:t>
      </w:r>
      <w:r>
        <w:rPr>
          <w:rFonts w:hint="eastAsia"/>
          <w:bCs/>
          <w:color w:val="000000"/>
          <w:sz w:val="24"/>
        </w:rPr>
        <w:lastRenderedPageBreak/>
        <w:t>估值。</w:t>
      </w:r>
    </w:p>
    <w:p w14:paraId="03A284A2" w14:textId="77777777" w:rsidR="00453EA8" w:rsidRDefault="00453EA8" w:rsidP="00453EA8">
      <w:pPr>
        <w:spacing w:line="360" w:lineRule="auto"/>
        <w:ind w:firstLineChars="200" w:firstLine="480"/>
        <w:rPr>
          <w:bCs/>
          <w:color w:val="000000"/>
          <w:sz w:val="24"/>
        </w:rPr>
      </w:pPr>
      <w:r>
        <w:rPr>
          <w:rFonts w:hint="eastAsia"/>
          <w:bCs/>
          <w:color w:val="000000"/>
          <w:sz w:val="24"/>
        </w:rPr>
        <w:t>③投资于境内上市定期开放式基金、封闭式基金，按估值日所投资基金的收盘价进行估值。</w:t>
      </w:r>
    </w:p>
    <w:p w14:paraId="0CC6E843" w14:textId="77777777" w:rsidR="00453EA8" w:rsidRDefault="00453EA8" w:rsidP="00453EA8">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3）如遇所投资基金不公布基金份额净值、进行折算或拆分、估值日无交易等特殊情况，基金管理人根据以下原则进行估值：</w:t>
      </w:r>
    </w:p>
    <w:p w14:paraId="45C908AA" w14:textId="77777777" w:rsidR="00453EA8" w:rsidRDefault="00453EA8" w:rsidP="00453EA8">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①以所投资基金的基金份额净值估值的，若所投资基金与本基金估值频率一致但未公布估值日基金份额净值，按其最近公布的基金份额净值为基础估值。</w:t>
      </w:r>
    </w:p>
    <w:p w14:paraId="4C5E2FAF" w14:textId="77777777" w:rsidR="00453EA8" w:rsidRDefault="00453EA8" w:rsidP="00453EA8">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3F2E17A0" w14:textId="545822D1" w:rsidR="00453EA8" w:rsidRPr="00013F41" w:rsidRDefault="00453EA8" w:rsidP="00453EA8">
      <w:pPr>
        <w:adjustRightInd w:val="0"/>
        <w:snapToGrid w:val="0"/>
        <w:spacing w:before="240" w:after="240" w:line="276" w:lineRule="auto"/>
        <w:ind w:firstLineChars="200" w:firstLine="480"/>
        <w:rPr>
          <w:rFonts w:asciiTheme="minorEastAsia" w:eastAsiaTheme="minorEastAsia" w:hAnsiTheme="minorEastAsia"/>
          <w:bCs/>
          <w:sz w:val="24"/>
        </w:rPr>
      </w:pPr>
      <w:r>
        <w:rPr>
          <w:rFonts w:ascii="宋体" w:hAnsi="宋体" w:cs="Arial" w:hint="eastAsia"/>
          <w:kern w:val="0"/>
          <w:sz w:val="24"/>
        </w:rPr>
        <w:t>③如果所投资基金前一估值日至估值日期间发生分红除权、折算或拆分，基金管理人应根据基金份额净值或收盘价、单位基金份额分红金额、折算拆分比例、持仓份额等因素合理确定公允价值。</w:t>
      </w:r>
    </w:p>
    <w:p w14:paraId="121473A5" w14:textId="739909A6" w:rsidR="00EF7549" w:rsidRPr="00EF7549" w:rsidRDefault="00013F41" w:rsidP="00EF7549">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453EA8">
        <w:rPr>
          <w:rFonts w:asciiTheme="minorEastAsia" w:eastAsiaTheme="minorEastAsia" w:hAnsiTheme="minorEastAsia"/>
          <w:bCs/>
          <w:sz w:val="24"/>
        </w:rPr>
        <w:t>5</w:t>
      </w:r>
      <w:r>
        <w:rPr>
          <w:rFonts w:asciiTheme="minorEastAsia" w:eastAsiaTheme="minorEastAsia" w:hAnsiTheme="minorEastAsia" w:hint="eastAsia"/>
          <w:bCs/>
          <w:sz w:val="24"/>
        </w:rPr>
        <w:t>）</w:t>
      </w:r>
      <w:r w:rsidR="00EF7549" w:rsidRPr="00EF7549">
        <w:rPr>
          <w:rFonts w:asciiTheme="minorEastAsia" w:eastAsiaTheme="minorEastAsia" w:hAnsiTheme="minorEastAsia" w:hint="eastAsia"/>
          <w:bCs/>
          <w:sz w:val="24"/>
        </w:rPr>
        <w:t>本基金投资股指期货、国债期货，一般以估值当日结算价进行估值，估值当日无结算价的，且最近交易日后经济环境未发生重大变化的，采用最近交易日结算价估值。</w:t>
      </w:r>
    </w:p>
    <w:p w14:paraId="10661F7E" w14:textId="51140BA8" w:rsidR="00013F41" w:rsidRPr="00013F41" w:rsidRDefault="00EF7549" w:rsidP="00EF7549">
      <w:pPr>
        <w:adjustRightInd w:val="0"/>
        <w:snapToGrid w:val="0"/>
        <w:spacing w:before="240" w:after="240" w:line="276" w:lineRule="auto"/>
        <w:ind w:firstLineChars="200" w:firstLine="480"/>
        <w:rPr>
          <w:rFonts w:asciiTheme="minorEastAsia" w:eastAsiaTheme="minorEastAsia" w:hAnsiTheme="minorEastAsia"/>
          <w:bCs/>
          <w:sz w:val="24"/>
        </w:rPr>
      </w:pPr>
      <w:r w:rsidRPr="00EF7549">
        <w:rPr>
          <w:rFonts w:asciiTheme="minorEastAsia" w:eastAsiaTheme="minorEastAsia" w:hAnsiTheme="minorEastAsia" w:hint="eastAsia"/>
          <w:bCs/>
          <w:sz w:val="24"/>
        </w:rPr>
        <w:t>本基金投资期权，根据相关法律法规以及监管部门的规定估值。</w:t>
      </w:r>
    </w:p>
    <w:p w14:paraId="38D2DF25" w14:textId="09100AAB"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453EA8">
        <w:rPr>
          <w:rFonts w:asciiTheme="minorEastAsia" w:eastAsiaTheme="minorEastAsia" w:hAnsiTheme="minorEastAsia"/>
          <w:bCs/>
          <w:sz w:val="24"/>
        </w:rPr>
        <w:t>6</w:t>
      </w:r>
      <w:r>
        <w:rPr>
          <w:rFonts w:asciiTheme="minorEastAsia" w:eastAsiaTheme="minorEastAsia" w:hAnsiTheme="minorEastAsia" w:hint="eastAsia"/>
          <w:bCs/>
          <w:sz w:val="24"/>
        </w:rPr>
        <w:t>）</w:t>
      </w:r>
      <w:r w:rsidRPr="00013F41">
        <w:rPr>
          <w:rFonts w:asciiTheme="minorEastAsia" w:eastAsiaTheme="minorEastAsia" w:hAnsiTheme="minorEastAsia" w:hint="eastAsia"/>
          <w:bCs/>
          <w:sz w:val="24"/>
        </w:rPr>
        <w:t>同一证券同时在两个或两个以上市场交易的，按证券所处的市场分别估值。</w:t>
      </w:r>
    </w:p>
    <w:p w14:paraId="0CC75507" w14:textId="47760568"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453EA8">
        <w:rPr>
          <w:rFonts w:asciiTheme="minorEastAsia" w:eastAsiaTheme="minorEastAsia" w:hAnsiTheme="minorEastAsia"/>
          <w:bCs/>
          <w:sz w:val="24"/>
        </w:rPr>
        <w:t>7</w:t>
      </w:r>
      <w:r>
        <w:rPr>
          <w:rFonts w:asciiTheme="minorEastAsia" w:eastAsiaTheme="minorEastAsia" w:hAnsiTheme="minorEastAsia" w:hint="eastAsia"/>
          <w:bCs/>
          <w:sz w:val="24"/>
        </w:rPr>
        <w:t>）</w:t>
      </w:r>
      <w:r w:rsidRPr="00013F41">
        <w:rPr>
          <w:rFonts w:asciiTheme="minorEastAsia" w:eastAsiaTheme="minorEastAsia" w:hAnsiTheme="minorEastAsia"/>
          <w:bCs/>
          <w:sz w:val="24"/>
        </w:rPr>
        <w:t>如有确凿证据表明按上述方法进行估值不能客观反映其公允价值的，基金管理人可根据具体情况与基金托管人商定后，按最能反映公允价值的价格估值。</w:t>
      </w:r>
    </w:p>
    <w:p w14:paraId="5615A510" w14:textId="15BA44F8"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453EA8">
        <w:rPr>
          <w:rFonts w:asciiTheme="minorEastAsia" w:eastAsiaTheme="minorEastAsia" w:hAnsiTheme="minorEastAsia"/>
          <w:bCs/>
          <w:sz w:val="24"/>
        </w:rPr>
        <w:t>8</w:t>
      </w:r>
      <w:r>
        <w:rPr>
          <w:rFonts w:asciiTheme="minorEastAsia" w:eastAsiaTheme="minorEastAsia" w:hAnsiTheme="minorEastAsia" w:hint="eastAsia"/>
          <w:bCs/>
          <w:sz w:val="24"/>
        </w:rPr>
        <w:t>）</w:t>
      </w:r>
      <w:r w:rsidRPr="00013F41">
        <w:rPr>
          <w:rFonts w:asciiTheme="minorEastAsia" w:eastAsiaTheme="minorEastAsia" w:hAnsiTheme="minorEastAsia"/>
          <w:bCs/>
          <w:sz w:val="24"/>
        </w:rPr>
        <w:t>当发生大额申购或赎回情形时，基金管理人可以采用摆动定价机制，以确保基金估值的公平性。</w:t>
      </w:r>
    </w:p>
    <w:p w14:paraId="176A4782" w14:textId="25F49DEF" w:rsid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453EA8">
        <w:rPr>
          <w:rFonts w:asciiTheme="minorEastAsia" w:eastAsiaTheme="minorEastAsia" w:hAnsiTheme="minorEastAsia"/>
          <w:bCs/>
          <w:sz w:val="24"/>
        </w:rPr>
        <w:t>9</w:t>
      </w:r>
      <w:r>
        <w:rPr>
          <w:rFonts w:asciiTheme="minorEastAsia" w:eastAsiaTheme="minorEastAsia" w:hAnsiTheme="minorEastAsia" w:hint="eastAsia"/>
          <w:bCs/>
          <w:sz w:val="24"/>
        </w:rPr>
        <w:t>）</w:t>
      </w:r>
      <w:r w:rsidRPr="00013F41">
        <w:rPr>
          <w:rFonts w:asciiTheme="minorEastAsia" w:eastAsiaTheme="minorEastAsia" w:hAnsiTheme="minorEastAsia" w:hint="eastAsia"/>
          <w:bCs/>
          <w:sz w:val="24"/>
        </w:rPr>
        <w:t>估值计算中涉及港币对人民币汇率的，将依据下列信息提供机构所提供的汇率为基准：当日中国人民银行公布的人民币与港币的中间价。</w:t>
      </w:r>
    </w:p>
    <w:p w14:paraId="65CA8D37" w14:textId="77777777" w:rsidR="00EF7549" w:rsidRPr="00D31579" w:rsidRDefault="00EF7549" w:rsidP="00EF7549">
      <w:pPr>
        <w:adjustRightInd w:val="0"/>
        <w:snapToGrid w:val="0"/>
        <w:spacing w:before="240" w:after="240" w:line="276" w:lineRule="auto"/>
        <w:ind w:firstLineChars="200" w:firstLine="480"/>
        <w:rPr>
          <w:rFonts w:asciiTheme="minorEastAsia" w:eastAsiaTheme="minorEastAsia" w:hAnsiTheme="minorEastAsia"/>
          <w:bCs/>
          <w:sz w:val="24"/>
        </w:rPr>
      </w:pPr>
      <w:r w:rsidRPr="00D31579">
        <w:rPr>
          <w:rFonts w:asciiTheme="minorEastAsia" w:eastAsiaTheme="minorEastAsia" w:hAnsiTheme="minorEastAsia"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w:t>
      </w:r>
      <w:r w:rsidRPr="00D31579">
        <w:rPr>
          <w:rFonts w:asciiTheme="minorEastAsia" w:eastAsiaTheme="minorEastAsia" w:hAnsiTheme="minorEastAsia" w:hint="eastAsia"/>
          <w:bCs/>
          <w:sz w:val="24"/>
        </w:rPr>
        <w:lastRenderedPageBreak/>
        <w:t>值调整。</w:t>
      </w:r>
    </w:p>
    <w:p w14:paraId="634600E5" w14:textId="345BAA60"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453EA8">
        <w:rPr>
          <w:rFonts w:asciiTheme="minorEastAsia" w:eastAsiaTheme="minorEastAsia" w:hAnsiTheme="minorEastAsia"/>
          <w:bCs/>
          <w:sz w:val="24"/>
        </w:rPr>
        <w:t>10</w:t>
      </w:r>
      <w:r>
        <w:rPr>
          <w:rFonts w:asciiTheme="minorEastAsia" w:eastAsiaTheme="minorEastAsia" w:hAnsiTheme="minorEastAsia" w:hint="eastAsia"/>
          <w:bCs/>
          <w:sz w:val="24"/>
        </w:rPr>
        <w:t>）</w:t>
      </w:r>
      <w:r w:rsidRPr="00013F41">
        <w:rPr>
          <w:rFonts w:asciiTheme="minorEastAsia" w:eastAsiaTheme="minorEastAsia" w:hAnsiTheme="minorEastAsia" w:hint="eastAsia"/>
          <w:bCs/>
          <w:sz w:val="24"/>
        </w:rPr>
        <w:t>本基金投资存托凭证的估值核算，依照国内依法发行上市的股票执行。</w:t>
      </w:r>
    </w:p>
    <w:p w14:paraId="0F9D33A7" w14:textId="1933D4E9"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453EA8">
        <w:rPr>
          <w:rFonts w:asciiTheme="minorEastAsia" w:eastAsiaTheme="minorEastAsia" w:hAnsiTheme="minorEastAsia" w:hint="eastAsia"/>
          <w:bCs/>
          <w:sz w:val="24"/>
        </w:rPr>
        <w:t>1</w:t>
      </w:r>
      <w:r w:rsidR="00453EA8">
        <w:rPr>
          <w:rFonts w:asciiTheme="minorEastAsia" w:eastAsiaTheme="minorEastAsia" w:hAnsiTheme="minorEastAsia"/>
          <w:bCs/>
          <w:sz w:val="24"/>
        </w:rPr>
        <w:t>1</w:t>
      </w:r>
      <w:r>
        <w:rPr>
          <w:rFonts w:asciiTheme="minorEastAsia" w:eastAsiaTheme="minorEastAsia" w:hAnsiTheme="minorEastAsia" w:hint="eastAsia"/>
          <w:bCs/>
          <w:sz w:val="24"/>
        </w:rPr>
        <w:t>）</w:t>
      </w:r>
      <w:r w:rsidRPr="00013F41">
        <w:rPr>
          <w:rFonts w:asciiTheme="minorEastAsia" w:eastAsiaTheme="minorEastAsia" w:hAnsiTheme="minorEastAsia" w:hint="eastAsia"/>
          <w:bCs/>
          <w:sz w:val="24"/>
        </w:rPr>
        <w:t>信用衍生品按第三方估值机构提供的当日估值价格进行估值，</w:t>
      </w:r>
      <w:r w:rsidR="00EF7549" w:rsidRPr="00727794">
        <w:rPr>
          <w:rFonts w:hint="eastAsia"/>
          <w:bCs/>
          <w:color w:val="000000"/>
          <w:sz w:val="24"/>
          <w:szCs w:val="20"/>
        </w:rPr>
        <w:t>但基金管理人依法应当承担的估值责任不因委托而免除</w:t>
      </w:r>
      <w:r w:rsidR="00EF7549">
        <w:rPr>
          <w:rFonts w:hint="eastAsia"/>
          <w:bCs/>
          <w:color w:val="000000"/>
          <w:sz w:val="24"/>
        </w:rPr>
        <w:t>；</w:t>
      </w:r>
      <w:r w:rsidRPr="00013F41">
        <w:rPr>
          <w:rFonts w:asciiTheme="minorEastAsia" w:eastAsiaTheme="minorEastAsia" w:hAnsiTheme="minorEastAsia" w:hint="eastAsia"/>
          <w:bCs/>
          <w:sz w:val="24"/>
        </w:rPr>
        <w:t>选定的第三方估值机构未提供估值价格的，依照有关法律法规及企业会计准则要求采用合理估值技术，确定公允价值。</w:t>
      </w:r>
    </w:p>
    <w:p w14:paraId="1CD334B5" w14:textId="48D310BB"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453EA8">
        <w:rPr>
          <w:rFonts w:asciiTheme="minorEastAsia" w:eastAsiaTheme="minorEastAsia" w:hAnsiTheme="minorEastAsia" w:hint="eastAsia"/>
          <w:bCs/>
          <w:sz w:val="24"/>
        </w:rPr>
        <w:t>1</w:t>
      </w:r>
      <w:r w:rsidR="00453EA8">
        <w:rPr>
          <w:rFonts w:asciiTheme="minorEastAsia" w:eastAsiaTheme="minorEastAsia" w:hAnsiTheme="minorEastAsia"/>
          <w:bCs/>
          <w:sz w:val="24"/>
        </w:rPr>
        <w:t>2</w:t>
      </w:r>
      <w:r>
        <w:rPr>
          <w:rFonts w:asciiTheme="minorEastAsia" w:eastAsiaTheme="minorEastAsia" w:hAnsiTheme="minorEastAsia" w:hint="eastAsia"/>
          <w:bCs/>
          <w:sz w:val="24"/>
        </w:rPr>
        <w:t>）</w:t>
      </w:r>
      <w:r w:rsidRPr="00013F41">
        <w:rPr>
          <w:rFonts w:asciiTheme="minorEastAsia" w:eastAsiaTheme="minorEastAsia" w:hAnsiTheme="minorEastAsia"/>
          <w:bCs/>
          <w:sz w:val="24"/>
        </w:rPr>
        <w:t>相关法律法规以及监管部门有强制规定的，从其规定。如有新增事项，按国家最新规定估值。</w:t>
      </w:r>
    </w:p>
    <w:p w14:paraId="6D99CF94" w14:textId="232F06AC" w:rsid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E1FC99A" w14:textId="3F9E8D32" w:rsidR="00EF7549" w:rsidRPr="00EF7549" w:rsidRDefault="00EF7549"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F93D75">
        <w:rPr>
          <w:rFonts w:asciiTheme="minorEastAsia" w:eastAsiaTheme="minorEastAsia" w:hAnsiTheme="minorEastAsia" w:hint="eastAsia"/>
          <w:bCs/>
          <w:sz w:val="24"/>
        </w:rPr>
        <w:t>鉴于本基金允许投资由基金管理人管理的非上市基金，基金管理人和基金托管人需根据已披露的份额净值信息进行估值。如因基金管理人披露的份额净值错误或无法于双方约定的时间披露份额净值导致的估值错误，相关责任由基金管理人承担。</w:t>
      </w:r>
    </w:p>
    <w:p w14:paraId="40BD5A13" w14:textId="4AB8D47E" w:rsidR="00013F41" w:rsidRPr="00013F41" w:rsidRDefault="00013F41" w:rsidP="00013F41">
      <w:pPr>
        <w:adjustRightInd w:val="0"/>
        <w:snapToGrid w:val="0"/>
        <w:spacing w:before="240" w:after="240" w:line="276" w:lineRule="auto"/>
        <w:ind w:firstLineChars="200" w:firstLine="480"/>
        <w:rPr>
          <w:rFonts w:asciiTheme="minorEastAsia" w:eastAsiaTheme="minorEastAsia" w:hAnsiTheme="minorEastAsia"/>
          <w:bCs/>
          <w:sz w:val="24"/>
        </w:rPr>
      </w:pPr>
      <w:r w:rsidRPr="00013F41">
        <w:rPr>
          <w:rFonts w:asciiTheme="minorEastAsia" w:eastAsiaTheme="minorEastAsia" w:hAnsiTheme="minorEastAsia"/>
          <w:bCs/>
          <w:sz w:val="24"/>
        </w:rPr>
        <w:t>基金管理人担任本基金的会计责任方</w:t>
      </w:r>
      <w:r w:rsidRPr="00013F41">
        <w:rPr>
          <w:rFonts w:asciiTheme="minorEastAsia" w:eastAsiaTheme="minorEastAsia" w:hAnsiTheme="minorEastAsia" w:hint="eastAsia"/>
          <w:bCs/>
          <w:sz w:val="24"/>
        </w:rPr>
        <w:t>，</w:t>
      </w:r>
      <w:r w:rsidRPr="00013F41">
        <w:rPr>
          <w:rFonts w:asciiTheme="minorEastAsia" w:eastAsiaTheme="minorEastAsia" w:hAnsiTheme="minorEastAsia"/>
          <w:bCs/>
          <w:sz w:val="24"/>
        </w:rPr>
        <w:t>负责本基金净值</w:t>
      </w:r>
      <w:r w:rsidRPr="00013F41">
        <w:rPr>
          <w:rFonts w:asciiTheme="minorEastAsia" w:eastAsiaTheme="minorEastAsia" w:hAnsiTheme="minorEastAsia" w:hint="eastAsia"/>
          <w:bCs/>
          <w:sz w:val="24"/>
        </w:rPr>
        <w:t>信息</w:t>
      </w:r>
      <w:r w:rsidRPr="00013F41">
        <w:rPr>
          <w:rFonts w:asciiTheme="minorEastAsia" w:eastAsiaTheme="minorEastAsia" w:hAnsiTheme="minorEastAsia"/>
          <w:bCs/>
          <w:sz w:val="24"/>
        </w:rPr>
        <w:t>计算和基金会计核算</w:t>
      </w:r>
      <w:r w:rsidRPr="00013F41">
        <w:rPr>
          <w:rFonts w:asciiTheme="minorEastAsia" w:eastAsiaTheme="minorEastAsia" w:hAnsiTheme="minorEastAsia" w:hint="eastAsia"/>
          <w:bCs/>
          <w:sz w:val="24"/>
        </w:rPr>
        <w:t>。</w:t>
      </w:r>
      <w:r w:rsidRPr="00013F41">
        <w:rPr>
          <w:rFonts w:asciiTheme="minorEastAsia" w:eastAsiaTheme="minorEastAsia" w:hAnsiTheme="minorEastAsia"/>
          <w:bCs/>
          <w:sz w:val="24"/>
        </w:rPr>
        <w:t>就与本基金有关的会计问题，如经相关各方在平等基础上充分讨论后，仍无法达成一致的意见，</w:t>
      </w:r>
      <w:r w:rsidRPr="00013F41">
        <w:rPr>
          <w:rFonts w:asciiTheme="minorEastAsia" w:eastAsiaTheme="minorEastAsia" w:hAnsiTheme="minorEastAsia" w:hint="eastAsia"/>
          <w:bCs/>
          <w:sz w:val="24"/>
        </w:rPr>
        <w:t>基金管理人向基金托管人出具盖章的书面说明后，</w:t>
      </w:r>
      <w:r w:rsidRPr="00013F41">
        <w:rPr>
          <w:rFonts w:asciiTheme="minorEastAsia" w:eastAsiaTheme="minorEastAsia" w:hAnsiTheme="minorEastAsia"/>
          <w:bCs/>
          <w:sz w:val="24"/>
        </w:rPr>
        <w:t>按照基金管理人对基金净值信息的计算结果对外予以公布。</w:t>
      </w:r>
    </w:p>
    <w:bookmarkEnd w:id="98"/>
    <w:p w14:paraId="36B49822" w14:textId="77777777" w:rsidR="009D164B" w:rsidRPr="0040323D" w:rsidRDefault="00AF3B6B">
      <w:pPr>
        <w:adjustRightInd w:val="0"/>
        <w:snapToGrid w:val="0"/>
        <w:spacing w:before="240" w:after="240" w:line="276" w:lineRule="auto"/>
        <w:ind w:firstLineChars="200" w:firstLine="480"/>
        <w:rPr>
          <w:rStyle w:val="read"/>
          <w:rFonts w:asciiTheme="minorEastAsia" w:eastAsiaTheme="minorEastAsia" w:hAnsiTheme="minorEastAsia"/>
          <w:sz w:val="24"/>
        </w:rPr>
      </w:pPr>
      <w:r w:rsidRPr="0040323D">
        <w:rPr>
          <w:rStyle w:val="read"/>
          <w:rFonts w:asciiTheme="minorEastAsia" w:eastAsiaTheme="minorEastAsia" w:hAnsiTheme="minorEastAsia" w:hint="eastAsia"/>
          <w:sz w:val="24"/>
        </w:rPr>
        <w:t>（三）基金份额净值错误的处理方式</w:t>
      </w:r>
    </w:p>
    <w:p w14:paraId="493D3355" w14:textId="60595EA4" w:rsidR="009D164B" w:rsidRPr="0040323D" w:rsidRDefault="00AF3B6B" w:rsidP="004011EC">
      <w:pPr>
        <w:adjustRightInd w:val="0"/>
        <w:snapToGrid w:val="0"/>
        <w:spacing w:before="240" w:after="240" w:line="276" w:lineRule="auto"/>
        <w:ind w:firstLineChars="200" w:firstLine="480"/>
        <w:rPr>
          <w:rStyle w:val="read"/>
          <w:rFonts w:asciiTheme="minorEastAsia" w:eastAsiaTheme="minorEastAsia" w:hAnsiTheme="minorEastAsia"/>
          <w:sz w:val="24"/>
        </w:rPr>
      </w:pPr>
      <w:r w:rsidRPr="0040323D">
        <w:rPr>
          <w:rStyle w:val="read"/>
          <w:rFonts w:asciiTheme="minorEastAsia" w:eastAsiaTheme="minorEastAsia" w:hAnsiTheme="minorEastAsia"/>
          <w:sz w:val="24"/>
        </w:rPr>
        <w:t>1.</w:t>
      </w:r>
      <w:r w:rsidR="007E5319" w:rsidRPr="007E5319">
        <w:rPr>
          <w:rFonts w:asciiTheme="minorEastAsia" w:eastAsiaTheme="minorEastAsia" w:hAnsiTheme="minorEastAsia"/>
          <w:bCs/>
          <w:sz w:val="24"/>
        </w:rPr>
        <w:t>当</w:t>
      </w:r>
      <w:r w:rsidR="007E5319" w:rsidRPr="007E5319">
        <w:rPr>
          <w:rFonts w:asciiTheme="minorEastAsia" w:eastAsiaTheme="minorEastAsia" w:hAnsiTheme="minorEastAsia" w:hint="eastAsia"/>
          <w:bCs/>
          <w:sz w:val="24"/>
        </w:rPr>
        <w:t>任一类别的</w:t>
      </w:r>
      <w:r w:rsidR="007E5319" w:rsidRPr="007E5319">
        <w:rPr>
          <w:rFonts w:asciiTheme="minorEastAsia" w:eastAsiaTheme="minorEastAsia" w:hAnsiTheme="minorEastAsia"/>
          <w:bCs/>
          <w:sz w:val="24"/>
        </w:rPr>
        <w:t>基金份额净值小数点后</w:t>
      </w:r>
      <w:r w:rsidR="007E5319" w:rsidRPr="007E5319">
        <w:rPr>
          <w:rFonts w:asciiTheme="minorEastAsia" w:eastAsiaTheme="minorEastAsia" w:hAnsiTheme="minorEastAsia" w:hint="eastAsia"/>
          <w:bCs/>
          <w:sz w:val="24"/>
        </w:rPr>
        <w:t>4</w:t>
      </w:r>
      <w:r w:rsidR="007E5319" w:rsidRPr="007E5319">
        <w:rPr>
          <w:rFonts w:asciiTheme="minorEastAsia" w:eastAsiaTheme="minorEastAsia" w:hAnsiTheme="minorEastAsia"/>
          <w:bCs/>
          <w:sz w:val="24"/>
        </w:rPr>
        <w:t>位以内（含第</w:t>
      </w:r>
      <w:r w:rsidR="007E5319" w:rsidRPr="007E5319">
        <w:rPr>
          <w:rFonts w:asciiTheme="minorEastAsia" w:eastAsiaTheme="minorEastAsia" w:hAnsiTheme="minorEastAsia" w:hint="eastAsia"/>
          <w:bCs/>
          <w:sz w:val="24"/>
        </w:rPr>
        <w:t>4</w:t>
      </w:r>
      <w:r w:rsidR="007E5319" w:rsidRPr="007E5319">
        <w:rPr>
          <w:rFonts w:asciiTheme="minorEastAsia" w:eastAsiaTheme="minorEastAsia" w:hAnsiTheme="minorEastAsia"/>
          <w:bCs/>
          <w:sz w:val="24"/>
        </w:rPr>
        <w:t>位）发生估值错误时，视为</w:t>
      </w:r>
      <w:r w:rsidR="007E5319" w:rsidRPr="007E5319">
        <w:rPr>
          <w:rFonts w:asciiTheme="minorEastAsia" w:eastAsiaTheme="minorEastAsia" w:hAnsiTheme="minorEastAsia" w:hint="eastAsia"/>
          <w:bCs/>
          <w:sz w:val="24"/>
        </w:rPr>
        <w:t>该类</w:t>
      </w:r>
      <w:r w:rsidR="007E5319" w:rsidRPr="007E5319">
        <w:rPr>
          <w:rFonts w:asciiTheme="minorEastAsia" w:eastAsiaTheme="minorEastAsia" w:hAnsiTheme="minorEastAsia"/>
          <w:bCs/>
          <w:sz w:val="24"/>
        </w:rPr>
        <w:t>基金份额净值</w:t>
      </w:r>
      <w:r w:rsidR="007E5319">
        <w:rPr>
          <w:rFonts w:asciiTheme="minorEastAsia" w:eastAsiaTheme="minorEastAsia" w:hAnsiTheme="minorEastAsia"/>
          <w:bCs/>
          <w:sz w:val="24"/>
        </w:rPr>
        <w:t>错误</w:t>
      </w:r>
      <w:r w:rsidRPr="0040323D">
        <w:rPr>
          <w:rStyle w:val="read"/>
          <w:rFonts w:asciiTheme="minorEastAsia" w:eastAsiaTheme="minorEastAsia" w:hAnsiTheme="minorEastAsia" w:hint="eastAsia"/>
          <w:sz w:val="24"/>
        </w:rPr>
        <w:t>；</w:t>
      </w:r>
      <w:r w:rsidR="005926ED">
        <w:rPr>
          <w:rStyle w:val="read"/>
          <w:rFonts w:asciiTheme="minorEastAsia" w:eastAsiaTheme="minorEastAsia" w:hAnsiTheme="minorEastAsia" w:hint="eastAsia"/>
          <w:sz w:val="24"/>
        </w:rPr>
        <w:t>任一类</w:t>
      </w:r>
      <w:r w:rsidR="004011EC" w:rsidRPr="004011EC">
        <w:rPr>
          <w:bCs/>
          <w:color w:val="000000"/>
          <w:sz w:val="24"/>
        </w:rPr>
        <w:t>基金份额净值计算出现错误时，基金管理人应当立即予以纠正，</w:t>
      </w:r>
      <w:r w:rsidR="004011EC" w:rsidRPr="004011EC">
        <w:rPr>
          <w:rFonts w:hint="eastAsia"/>
          <w:bCs/>
          <w:color w:val="000000"/>
          <w:sz w:val="24"/>
        </w:rPr>
        <w:t>通报基金托管人，</w:t>
      </w:r>
      <w:r w:rsidR="004011EC" w:rsidRPr="004011EC">
        <w:rPr>
          <w:bCs/>
          <w:color w:val="000000"/>
          <w:sz w:val="24"/>
        </w:rPr>
        <w:t>并采取合理的措施防止损失进一步扩大</w:t>
      </w:r>
      <w:r w:rsidR="004011EC">
        <w:rPr>
          <w:rFonts w:hint="eastAsia"/>
          <w:bCs/>
          <w:color w:val="000000"/>
          <w:sz w:val="24"/>
        </w:rPr>
        <w:t>；</w:t>
      </w:r>
      <w:r w:rsidR="004011EC" w:rsidRPr="004011EC">
        <w:rPr>
          <w:bCs/>
          <w:color w:val="000000"/>
          <w:sz w:val="24"/>
        </w:rPr>
        <w:t>错误偏差达到该</w:t>
      </w:r>
      <w:r w:rsidR="004011EC" w:rsidRPr="004011EC">
        <w:rPr>
          <w:rFonts w:hint="eastAsia"/>
          <w:bCs/>
          <w:color w:val="000000"/>
          <w:sz w:val="24"/>
        </w:rPr>
        <w:t>类</w:t>
      </w:r>
      <w:r w:rsidR="004011EC" w:rsidRPr="004011EC">
        <w:rPr>
          <w:bCs/>
          <w:color w:val="000000"/>
          <w:sz w:val="24"/>
        </w:rPr>
        <w:t>基金份额净值的</w:t>
      </w:r>
      <w:r w:rsidR="004011EC" w:rsidRPr="004011EC">
        <w:rPr>
          <w:bCs/>
          <w:color w:val="000000"/>
          <w:sz w:val="24"/>
        </w:rPr>
        <w:t>0.25%</w:t>
      </w:r>
      <w:r w:rsidR="004011EC" w:rsidRPr="004011EC">
        <w:rPr>
          <w:bCs/>
          <w:color w:val="000000"/>
          <w:sz w:val="24"/>
        </w:rPr>
        <w:t>时，基金管理人应当通报基金托管人并报中国证监会备案；错误偏差达到该</w:t>
      </w:r>
      <w:r w:rsidR="004011EC" w:rsidRPr="004011EC">
        <w:rPr>
          <w:rFonts w:hint="eastAsia"/>
          <w:bCs/>
          <w:color w:val="000000"/>
          <w:sz w:val="24"/>
        </w:rPr>
        <w:t>类</w:t>
      </w:r>
      <w:r w:rsidR="004011EC" w:rsidRPr="004011EC">
        <w:rPr>
          <w:bCs/>
          <w:color w:val="000000"/>
          <w:sz w:val="24"/>
        </w:rPr>
        <w:t>基金份额净值的</w:t>
      </w:r>
      <w:r w:rsidR="004011EC" w:rsidRPr="004011EC">
        <w:rPr>
          <w:bCs/>
          <w:color w:val="000000"/>
          <w:sz w:val="24"/>
        </w:rPr>
        <w:t>0.5%</w:t>
      </w:r>
      <w:r w:rsidR="004011EC" w:rsidRPr="004011EC">
        <w:rPr>
          <w:bCs/>
          <w:color w:val="000000"/>
          <w:sz w:val="24"/>
        </w:rPr>
        <w:t>时，基金管理人应当公告，通报基金托管人并报中国证监会备案</w:t>
      </w:r>
      <w:r w:rsidRPr="0040323D">
        <w:rPr>
          <w:rFonts w:asciiTheme="minorEastAsia" w:eastAsiaTheme="minorEastAsia" w:hAnsiTheme="minorEastAsia" w:cs="Arial" w:hint="eastAsia"/>
          <w:sz w:val="24"/>
        </w:rPr>
        <w:t>；</w:t>
      </w:r>
      <w:r w:rsidRPr="0040323D">
        <w:rPr>
          <w:rStyle w:val="read"/>
          <w:rFonts w:asciiTheme="minorEastAsia" w:eastAsiaTheme="minorEastAsia" w:hAnsiTheme="minorEastAsia" w:hint="eastAsia"/>
          <w:sz w:val="24"/>
        </w:rPr>
        <w:t>当发生净值计算错误时，由基金管理人负责处理，由此给基金份额持有人和基金造成损失的，应</w:t>
      </w:r>
      <w:bookmarkStart w:id="100" w:name="净值错误：赔偿？追偿？"/>
      <w:bookmarkEnd w:id="100"/>
      <w:r w:rsidRPr="0040323D">
        <w:rPr>
          <w:rStyle w:val="read"/>
          <w:rFonts w:asciiTheme="minorEastAsia" w:eastAsiaTheme="minorEastAsia" w:hAnsiTheme="minorEastAsia" w:hint="eastAsia"/>
          <w:sz w:val="24"/>
        </w:rPr>
        <w:t>由基金管理人先行赔付，基金管理人按差错情形，有权向其他当事人追偿。</w:t>
      </w:r>
    </w:p>
    <w:p w14:paraId="26841ADF" w14:textId="77777777" w:rsidR="009D164B" w:rsidRPr="0040323D" w:rsidRDefault="00AF3B6B">
      <w:pPr>
        <w:adjustRightInd w:val="0"/>
        <w:snapToGrid w:val="0"/>
        <w:spacing w:before="240" w:after="240" w:line="276" w:lineRule="auto"/>
        <w:ind w:firstLineChars="200" w:firstLine="480"/>
        <w:rPr>
          <w:rStyle w:val="read"/>
          <w:rFonts w:asciiTheme="minorEastAsia" w:eastAsiaTheme="minorEastAsia" w:hAnsiTheme="minorEastAsia"/>
          <w:sz w:val="24"/>
        </w:rPr>
      </w:pPr>
      <w:r w:rsidRPr="0040323D">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r w:rsidRPr="0040323D">
        <w:rPr>
          <w:rStyle w:val="read"/>
          <w:rFonts w:asciiTheme="minorEastAsia" w:eastAsiaTheme="minorEastAsia" w:hAnsiTheme="minorEastAsia"/>
          <w:sz w:val="24"/>
        </w:rPr>
        <w:t xml:space="preserve"> </w:t>
      </w:r>
    </w:p>
    <w:p w14:paraId="3507A2B2" w14:textId="44054994"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Style w:val="read"/>
          <w:rFonts w:asciiTheme="minorEastAsia" w:eastAsiaTheme="minorEastAsia" w:hAnsiTheme="minorEastAsia" w:hint="eastAsia"/>
          <w:sz w:val="24"/>
        </w:rPr>
        <w:t>(1)本基金的基金会计责任方由基金管理人担任，与本基金有关的会计问题，</w:t>
      </w:r>
      <w:r w:rsidRPr="0040323D">
        <w:rPr>
          <w:rStyle w:val="read"/>
          <w:rFonts w:asciiTheme="minorEastAsia" w:eastAsiaTheme="minorEastAsia" w:hAnsiTheme="minorEastAsia" w:hint="eastAsia"/>
          <w:sz w:val="24"/>
        </w:rPr>
        <w:lastRenderedPageBreak/>
        <w:t>如经双方在平等基础上充分讨论后，尚不能达成一致时，按基金管理人的建议执行，由此给基金份额持有人和基金财产造成的</w:t>
      </w:r>
      <w:r w:rsidRPr="0040323D">
        <w:rPr>
          <w:rFonts w:asciiTheme="minorEastAsia" w:eastAsiaTheme="minorEastAsia" w:hAnsiTheme="minorEastAsia" w:cs="Arial" w:hint="eastAsia"/>
          <w:sz w:val="24"/>
        </w:rPr>
        <w:t>损失，由基金管理人负责赔付。</w:t>
      </w:r>
    </w:p>
    <w:p w14:paraId="00F95DA9" w14:textId="733B0132"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w:t>
      </w:r>
      <w:r w:rsidRPr="0040323D">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98ACB72"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(3)如基金管理人和基金托管人对基金份额净值的计算结果，虽然多次重新计算和核对，尚不能达成一致时，为避免不能按时公布基金份额净值的情形，以基金管理人的计算结果对外公布</w:t>
      </w:r>
      <w:bookmarkStart w:id="101" w:name="错误处理：如事后证明（合同）"/>
      <w:bookmarkEnd w:id="101"/>
      <w:r w:rsidRPr="0040323D">
        <w:rPr>
          <w:rFonts w:asciiTheme="minorEastAsia" w:eastAsiaTheme="minorEastAsia" w:hAnsiTheme="minorEastAsia" w:cs="Arial" w:hint="eastAsia"/>
          <w:sz w:val="24"/>
        </w:rPr>
        <w:t>，由此给基金份额持有人和基金造成的损失，由基金管理人负责赔付。</w:t>
      </w:r>
    </w:p>
    <w:p w14:paraId="5CABD750" w14:textId="2B8CAAF9"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(4)</w:t>
      </w:r>
      <w:r w:rsidRPr="0040323D">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7700A0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3.特殊情况的处理</w:t>
      </w:r>
    </w:p>
    <w:p w14:paraId="303D92F3" w14:textId="3A4A043E"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bookmarkStart w:id="102" w:name="_Hlk109912510"/>
      <w:r w:rsidRPr="001A1B1A">
        <w:rPr>
          <w:rFonts w:asciiTheme="minorEastAsia" w:eastAsiaTheme="minorEastAsia" w:hAnsiTheme="minorEastAsia" w:cs="Arial" w:hint="eastAsia"/>
          <w:sz w:val="24"/>
        </w:rPr>
        <w:t>（</w:t>
      </w:r>
      <w:r w:rsidRPr="001A1B1A">
        <w:rPr>
          <w:rFonts w:asciiTheme="minorEastAsia" w:eastAsiaTheme="minorEastAsia" w:hAnsiTheme="minorEastAsia" w:cs="Arial"/>
          <w:sz w:val="24"/>
        </w:rPr>
        <w:t>1）基金管理人或基金托管人按基金合同</w:t>
      </w:r>
      <w:r w:rsidR="00F82F13" w:rsidRPr="001A1B1A">
        <w:rPr>
          <w:rFonts w:asciiTheme="minorEastAsia" w:eastAsiaTheme="minorEastAsia" w:hAnsiTheme="minorEastAsia" w:cs="Arial" w:hint="eastAsia"/>
          <w:sz w:val="24"/>
        </w:rPr>
        <w:t>和</w:t>
      </w:r>
      <w:r w:rsidR="00F310AA" w:rsidRPr="001A1B1A">
        <w:rPr>
          <w:rFonts w:asciiTheme="minorEastAsia" w:eastAsiaTheme="minorEastAsia" w:hAnsiTheme="minorEastAsia" w:cs="Arial" w:hint="eastAsia"/>
          <w:sz w:val="24"/>
        </w:rPr>
        <w:t>托管协议</w:t>
      </w:r>
      <w:r w:rsidRPr="001A1B1A">
        <w:rPr>
          <w:rFonts w:asciiTheme="minorEastAsia" w:eastAsiaTheme="minorEastAsia" w:hAnsiTheme="minorEastAsia" w:cs="Arial" w:hint="eastAsia"/>
          <w:sz w:val="24"/>
        </w:rPr>
        <w:t>约定的估值方法进行估值时，所造成的误差不作为基金资产估值错误处理。</w:t>
      </w:r>
    </w:p>
    <w:p w14:paraId="453B370A" w14:textId="5CD26641"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w:t>
      </w:r>
      <w:r w:rsidRPr="0040323D">
        <w:rPr>
          <w:rFonts w:asciiTheme="minorEastAsia" w:eastAsiaTheme="minorEastAsia" w:hAnsiTheme="minorEastAsia" w:cs="Arial"/>
          <w:sz w:val="24"/>
        </w:rPr>
        <w:t>2）由于不可抗力原因，或由于证券、期货交易所</w:t>
      </w:r>
      <w:r w:rsidRPr="0040323D">
        <w:rPr>
          <w:rFonts w:asciiTheme="minorEastAsia" w:eastAsiaTheme="minorEastAsia" w:hAnsiTheme="minorEastAsia" w:cs="Arial" w:hint="eastAsia"/>
          <w:sz w:val="24"/>
        </w:rPr>
        <w:t>，或第三方估值机构，或证券登记结算机构等发送的数据错误，或国家会计政策、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bookmarkEnd w:id="102"/>
    <w:p w14:paraId="0BBB4E6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4.基金管理人和基金托管人由于各自技术系统设置而产生的净值计算尾差，以基金管理人计算结果为准。</w:t>
      </w:r>
    </w:p>
    <w:p w14:paraId="2BBBA21B"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5.前述内容如法律法规或者监管部门另有规定的，从其规定。</w:t>
      </w:r>
    </w:p>
    <w:p w14:paraId="5846B3B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（四）暂停估值的情形</w:t>
      </w:r>
    </w:p>
    <w:p w14:paraId="2B6A098A" w14:textId="37FE52A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1、基金投资所涉及的证券、期货交易市场</w:t>
      </w:r>
      <w:r w:rsidR="004011EC" w:rsidRPr="004011EC">
        <w:rPr>
          <w:rFonts w:asciiTheme="minorEastAsia" w:eastAsiaTheme="minorEastAsia" w:hAnsiTheme="minorEastAsia" w:cs="Arial"/>
          <w:bCs/>
          <w:sz w:val="24"/>
        </w:rPr>
        <w:t>或外汇市场</w:t>
      </w:r>
      <w:r w:rsidRPr="0040323D">
        <w:rPr>
          <w:rFonts w:asciiTheme="minorEastAsia" w:eastAsiaTheme="minorEastAsia" w:hAnsiTheme="minorEastAsia" w:cs="Arial"/>
          <w:sz w:val="24"/>
        </w:rPr>
        <w:t>遇法定节假日或因其他原因暂停营业时；</w:t>
      </w:r>
    </w:p>
    <w:p w14:paraId="1DFCCF99"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2、因不可抗力致使基金管理人、基金托管人无法准确评估基金资产价值时；</w:t>
      </w:r>
    </w:p>
    <w:p w14:paraId="06B4D99B"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3、当特定资产占前一估值日基金资产净值50%以上的，经与基金托管人协商</w:t>
      </w:r>
      <w:r w:rsidRPr="0040323D">
        <w:rPr>
          <w:rFonts w:asciiTheme="minorEastAsia" w:eastAsiaTheme="minorEastAsia" w:hAnsiTheme="minorEastAsia" w:cs="Arial"/>
          <w:sz w:val="24"/>
        </w:rPr>
        <w:lastRenderedPageBreak/>
        <w:t>确认后，基金管理人应当暂停估值；</w:t>
      </w:r>
    </w:p>
    <w:p w14:paraId="630CCB8D"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4、法律法规</w:t>
      </w:r>
      <w:r w:rsidRPr="0040323D">
        <w:rPr>
          <w:rFonts w:asciiTheme="minorEastAsia" w:eastAsiaTheme="minorEastAsia" w:hAnsiTheme="minorEastAsia" w:cs="Arial" w:hint="eastAsia"/>
          <w:sz w:val="24"/>
        </w:rPr>
        <w:t>规定、中国证监会和基金合同认定的其它情形。</w:t>
      </w:r>
    </w:p>
    <w:p w14:paraId="7CE9BB8F" w14:textId="77777777" w:rsidR="009D164B" w:rsidRPr="0040323D" w:rsidRDefault="00AF3B6B">
      <w:pPr>
        <w:pStyle w:val="a0"/>
        <w:adjustRightInd w:val="0"/>
        <w:snapToGrid w:val="0"/>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（五）实施侧袋机制期间的基金资产估值</w:t>
      </w:r>
    </w:p>
    <w:p w14:paraId="2DCD46E6" w14:textId="045D8533" w:rsidR="009D164B" w:rsidRPr="0040323D" w:rsidRDefault="00AF3B6B" w:rsidP="0040323D">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本基金实施侧袋机制的，应根据本部分的约定对主袋账户资产进行估值并披露主袋账户的基金净值信息，暂停披露侧袋账户份额净值。</w:t>
      </w:r>
    </w:p>
    <w:p w14:paraId="3725B966"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（六）基金会计制度</w:t>
      </w:r>
    </w:p>
    <w:p w14:paraId="3D4661B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按国家有关部门规定的会计制度执行。</w:t>
      </w:r>
    </w:p>
    <w:p w14:paraId="501F4CEC"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（七）基金账册的建立</w:t>
      </w:r>
    </w:p>
    <w:p w14:paraId="5BD6D05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B03E5A2" w14:textId="77777777" w:rsidR="009D164B" w:rsidRPr="0040323D" w:rsidRDefault="00AF3B6B">
      <w:pPr>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（八）基金财务报表与报告的编制和复核</w:t>
      </w:r>
    </w:p>
    <w:p w14:paraId="3F8D68F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1.财务报表的编制</w:t>
      </w:r>
    </w:p>
    <w:p w14:paraId="2F01BCC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基金财务报表由基金管理人编制，基金托管人复核。</w:t>
      </w:r>
    </w:p>
    <w:p w14:paraId="70B301D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2.报表复核</w:t>
      </w:r>
    </w:p>
    <w:p w14:paraId="1E5A8B1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1297DB0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3.财务报表的编制与复核时间安排</w:t>
      </w:r>
    </w:p>
    <w:p w14:paraId="66BAB9A4"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(1)报表的编制</w:t>
      </w:r>
    </w:p>
    <w:p w14:paraId="2470AC7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w:t>
      </w:r>
      <w:r w:rsidRPr="0040323D">
        <w:rPr>
          <w:rFonts w:asciiTheme="minorEastAsia" w:eastAsiaTheme="minorEastAsia" w:hAnsiTheme="minorEastAsia" w:cs="Arial"/>
          <w:sz w:val="24"/>
        </w:rPr>
        <w:t>15个工作日内完成季度报告编制并公告；在上半年结束之日起两个月内完成中期报告编制并公告；在每年结束之日起三个月内完成年度报告编制并公告。基金年度报告</w:t>
      </w:r>
      <w:r w:rsidRPr="0040323D">
        <w:rPr>
          <w:rFonts w:asciiTheme="minorEastAsia" w:eastAsiaTheme="minorEastAsia" w:hAnsiTheme="minorEastAsia" w:cs="Arial" w:hint="eastAsia"/>
          <w:sz w:val="24"/>
        </w:rPr>
        <w:t>中</w:t>
      </w:r>
      <w:r w:rsidRPr="0040323D">
        <w:rPr>
          <w:rFonts w:asciiTheme="minorEastAsia" w:eastAsiaTheme="minorEastAsia" w:hAnsiTheme="minorEastAsia" w:cs="Arial"/>
          <w:sz w:val="24"/>
        </w:rPr>
        <w:t>的财务会计报告应当经过</w:t>
      </w:r>
      <w:r w:rsidRPr="0040323D">
        <w:rPr>
          <w:rFonts w:asciiTheme="minorEastAsia" w:eastAsiaTheme="minorEastAsia" w:hAnsiTheme="minorEastAsia" w:cs="Arial" w:hint="eastAsia"/>
          <w:sz w:val="24"/>
        </w:rPr>
        <w:t>符合《中华人民共和国证券法》规定的会计师事务所</w:t>
      </w:r>
      <w:r w:rsidRPr="0040323D">
        <w:rPr>
          <w:rFonts w:asciiTheme="minorEastAsia" w:eastAsiaTheme="minorEastAsia" w:hAnsiTheme="minorEastAsia" w:cs="Arial"/>
          <w:sz w:val="24"/>
        </w:rPr>
        <w:t>审计。</w:t>
      </w:r>
      <w:r w:rsidRPr="0040323D">
        <w:rPr>
          <w:rFonts w:asciiTheme="minorEastAsia" w:eastAsiaTheme="minorEastAsia" w:hAnsiTheme="minorEastAsia" w:cs="Arial" w:hint="eastAsia"/>
          <w:sz w:val="24"/>
        </w:rPr>
        <w:t>《基金合同》生效不足两个月的，基金管理人可以不编制当期季度报告、中期报告或者年度报告。</w:t>
      </w:r>
    </w:p>
    <w:p w14:paraId="1194E337" w14:textId="33CEF1AB" w:rsidR="009D164B" w:rsidRPr="0040323D" w:rsidRDefault="00AF3B6B">
      <w:pPr>
        <w:pStyle w:val="a0"/>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sz w:val="24"/>
        </w:rPr>
        <w:lastRenderedPageBreak/>
        <w:t>(2)报表的复核</w:t>
      </w:r>
    </w:p>
    <w:p w14:paraId="17DD7F3D" w14:textId="77777777" w:rsidR="009D164B" w:rsidRPr="0040323D" w:rsidRDefault="00AF3B6B">
      <w:pPr>
        <w:pStyle w:val="a0"/>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766FADD" w14:textId="77777777" w:rsidR="009D164B" w:rsidRPr="0040323D" w:rsidRDefault="00AF3B6B">
      <w:pPr>
        <w:pStyle w:val="a0"/>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基金管理人应留足充分的时间，便于基金托管人复核相关报表及报告。</w:t>
      </w:r>
    </w:p>
    <w:p w14:paraId="34B2B080" w14:textId="77777777" w:rsidR="009D164B" w:rsidRPr="0040323D" w:rsidRDefault="00AF3B6B">
      <w:pPr>
        <w:pStyle w:val="a0"/>
        <w:adjustRightInd w:val="0"/>
        <w:snapToGrid w:val="0"/>
        <w:spacing w:before="240" w:after="240" w:line="276" w:lineRule="auto"/>
        <w:ind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（九）基金管理人应在编制季度报告、中期报告或者年度报告之前及时向基金托管人提供基金业绩比较基准的基础数据和编制结果。</w:t>
      </w:r>
    </w:p>
    <w:p w14:paraId="4629EB87" w14:textId="77777777" w:rsidR="009D164B" w:rsidRPr="0040323D" w:rsidRDefault="009D164B">
      <w:pPr>
        <w:pStyle w:val="a0"/>
        <w:adjustRightInd w:val="0"/>
        <w:snapToGrid w:val="0"/>
        <w:spacing w:before="240" w:after="240" w:line="276" w:lineRule="auto"/>
        <w:ind w:firstLineChars="0" w:firstLine="0"/>
        <w:rPr>
          <w:rFonts w:asciiTheme="minorEastAsia" w:eastAsiaTheme="minorEastAsia" w:hAnsiTheme="minorEastAsia" w:cs="Arial"/>
          <w:sz w:val="24"/>
        </w:rPr>
      </w:pPr>
    </w:p>
    <w:p w14:paraId="513D6964"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03" w:name="_Toc124325893"/>
      <w:r w:rsidRPr="0040323D">
        <w:rPr>
          <w:rFonts w:asciiTheme="minorEastAsia" w:eastAsiaTheme="minorEastAsia" w:hAnsiTheme="minorEastAsia" w:hint="eastAsia"/>
          <w:sz w:val="30"/>
        </w:rPr>
        <w:t>九、基金收益分配</w:t>
      </w:r>
      <w:bookmarkEnd w:id="103"/>
    </w:p>
    <w:p w14:paraId="3C0108E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基金收益分配是指按规定将基金的可分配收益按基金份额进行比例分配。</w:t>
      </w:r>
    </w:p>
    <w:p w14:paraId="0EBE7AA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（一）基金收益分配的原则</w:t>
      </w:r>
    </w:p>
    <w:p w14:paraId="3C7332A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基金收益分配应遵循下列原则：</w:t>
      </w:r>
    </w:p>
    <w:p w14:paraId="0E16F006" w14:textId="77777777" w:rsidR="004011EC" w:rsidRPr="004011EC" w:rsidRDefault="004011EC" w:rsidP="004011EC">
      <w:pPr>
        <w:adjustRightInd w:val="0"/>
        <w:snapToGrid w:val="0"/>
        <w:spacing w:before="240" w:after="240" w:line="276" w:lineRule="auto"/>
        <w:ind w:firstLineChars="200" w:firstLine="480"/>
        <w:rPr>
          <w:rFonts w:asciiTheme="minorEastAsia" w:eastAsiaTheme="minorEastAsia" w:hAnsiTheme="minorEastAsia" w:cs="Arial"/>
          <w:bCs/>
          <w:sz w:val="24"/>
        </w:rPr>
      </w:pPr>
      <w:r w:rsidRPr="004011EC">
        <w:rPr>
          <w:rFonts w:asciiTheme="minorEastAsia" w:eastAsiaTheme="minorEastAsia" w:hAnsiTheme="minorEastAsia" w:cs="Arial"/>
          <w:bCs/>
          <w:sz w:val="24"/>
        </w:rPr>
        <w:t>1、</w:t>
      </w:r>
      <w:r w:rsidRPr="004011EC">
        <w:rPr>
          <w:rFonts w:asciiTheme="minorEastAsia" w:eastAsiaTheme="minorEastAsia" w:hAnsiTheme="minorEastAsia" w:cs="Arial" w:hint="eastAsia"/>
          <w:bCs/>
          <w:sz w:val="24"/>
        </w:rPr>
        <w:t>在符合有关基金分红条件的前提下，由基金管理人</w:t>
      </w:r>
      <w:r w:rsidRPr="004011EC">
        <w:rPr>
          <w:rFonts w:asciiTheme="minorEastAsia" w:eastAsiaTheme="minorEastAsia" w:hAnsiTheme="minorEastAsia" w:cs="Arial"/>
          <w:bCs/>
          <w:sz w:val="24"/>
        </w:rPr>
        <w:t>根据</w:t>
      </w:r>
      <w:r w:rsidRPr="004011EC">
        <w:rPr>
          <w:rFonts w:asciiTheme="minorEastAsia" w:eastAsiaTheme="minorEastAsia" w:hAnsiTheme="minorEastAsia" w:cs="Arial" w:hint="eastAsia"/>
          <w:bCs/>
          <w:sz w:val="24"/>
        </w:rPr>
        <w:t>实际情况进行收益分配，具体分配方案以公告为准，若基金合同生效不满</w:t>
      </w:r>
      <w:r w:rsidRPr="004011EC">
        <w:rPr>
          <w:rFonts w:asciiTheme="minorEastAsia" w:eastAsiaTheme="minorEastAsia" w:hAnsiTheme="minorEastAsia" w:cs="Arial"/>
          <w:bCs/>
          <w:sz w:val="24"/>
        </w:rPr>
        <w:t>3</w:t>
      </w:r>
      <w:r w:rsidRPr="004011EC">
        <w:rPr>
          <w:rFonts w:asciiTheme="minorEastAsia" w:eastAsiaTheme="minorEastAsia" w:hAnsiTheme="minorEastAsia" w:cs="Arial" w:hint="eastAsia"/>
          <w:bCs/>
          <w:sz w:val="24"/>
        </w:rPr>
        <w:t>个月可不进行收益分配；</w:t>
      </w:r>
    </w:p>
    <w:p w14:paraId="2102CBAE" w14:textId="77777777" w:rsidR="004011EC" w:rsidRPr="004011EC" w:rsidRDefault="004011EC" w:rsidP="004011EC">
      <w:pPr>
        <w:adjustRightInd w:val="0"/>
        <w:snapToGrid w:val="0"/>
        <w:spacing w:before="240" w:after="240" w:line="276" w:lineRule="auto"/>
        <w:ind w:firstLineChars="200" w:firstLine="480"/>
        <w:rPr>
          <w:rFonts w:asciiTheme="minorEastAsia" w:eastAsiaTheme="minorEastAsia" w:hAnsiTheme="minorEastAsia" w:cs="Arial"/>
          <w:bCs/>
          <w:sz w:val="24"/>
        </w:rPr>
      </w:pPr>
      <w:r w:rsidRPr="004011EC">
        <w:rPr>
          <w:rFonts w:asciiTheme="minorEastAsia" w:eastAsiaTheme="minorEastAsia" w:hAnsiTheme="minorEastAsia" w:cs="Arial"/>
          <w:bCs/>
          <w:sz w:val="24"/>
        </w:rPr>
        <w:t>2</w:t>
      </w:r>
      <w:r w:rsidRPr="004011EC">
        <w:rPr>
          <w:rFonts w:asciiTheme="minorEastAsia" w:eastAsiaTheme="minorEastAsia" w:hAnsiTheme="minorEastAsia" w:cs="Arial"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034CA037" w14:textId="77777777" w:rsidR="004011EC" w:rsidRPr="004011EC" w:rsidRDefault="004011EC" w:rsidP="004011EC">
      <w:pPr>
        <w:adjustRightInd w:val="0"/>
        <w:snapToGrid w:val="0"/>
        <w:spacing w:before="240" w:after="240" w:line="276" w:lineRule="auto"/>
        <w:ind w:firstLineChars="200" w:firstLine="480"/>
        <w:rPr>
          <w:rFonts w:asciiTheme="minorEastAsia" w:eastAsiaTheme="minorEastAsia" w:hAnsiTheme="minorEastAsia" w:cs="Arial"/>
          <w:bCs/>
          <w:sz w:val="24"/>
        </w:rPr>
      </w:pPr>
      <w:r w:rsidRPr="004011EC">
        <w:rPr>
          <w:rFonts w:asciiTheme="minorEastAsia" w:eastAsiaTheme="minorEastAsia" w:hAnsiTheme="minorEastAsia" w:cs="Arial"/>
          <w:bCs/>
          <w:sz w:val="24"/>
        </w:rPr>
        <w:t>3</w:t>
      </w:r>
      <w:r w:rsidRPr="004011EC">
        <w:rPr>
          <w:rFonts w:asciiTheme="minorEastAsia" w:eastAsiaTheme="minorEastAsia" w:hAnsiTheme="minorEastAsia" w:cs="Arial" w:hint="eastAsia"/>
          <w:bCs/>
          <w:sz w:val="24"/>
        </w:rPr>
        <w:t>、基金收益分配后各类基金份额净值不能低于面值；即基金收益分配基准日的各类基金份额净值减去每单位该类基金份额收益分配金额后不能低于面值；</w:t>
      </w:r>
    </w:p>
    <w:p w14:paraId="2DAB14D4" w14:textId="77777777" w:rsidR="004011EC" w:rsidRPr="004011EC" w:rsidRDefault="004011EC" w:rsidP="004011EC">
      <w:pPr>
        <w:adjustRightInd w:val="0"/>
        <w:snapToGrid w:val="0"/>
        <w:spacing w:before="240" w:after="240" w:line="276" w:lineRule="auto"/>
        <w:ind w:firstLineChars="200" w:firstLine="480"/>
        <w:rPr>
          <w:rFonts w:asciiTheme="minorEastAsia" w:eastAsiaTheme="minorEastAsia" w:hAnsiTheme="minorEastAsia" w:cs="Arial"/>
          <w:bCs/>
          <w:sz w:val="24"/>
        </w:rPr>
      </w:pPr>
      <w:r w:rsidRPr="004011EC">
        <w:rPr>
          <w:rFonts w:asciiTheme="minorEastAsia" w:eastAsiaTheme="minorEastAsia" w:hAnsiTheme="minorEastAsia" w:cs="Arial"/>
          <w:bCs/>
          <w:sz w:val="24"/>
        </w:rPr>
        <w:t>4</w:t>
      </w:r>
      <w:r w:rsidRPr="004011EC">
        <w:rPr>
          <w:rFonts w:asciiTheme="minorEastAsia" w:eastAsiaTheme="minorEastAsia" w:hAnsiTheme="minorEastAsia" w:cs="Arial"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174AE15C" w14:textId="77777777" w:rsidR="004011EC" w:rsidRPr="004011EC" w:rsidRDefault="004011EC" w:rsidP="004011EC">
      <w:pPr>
        <w:adjustRightInd w:val="0"/>
        <w:snapToGrid w:val="0"/>
        <w:spacing w:before="240" w:after="240" w:line="276" w:lineRule="auto"/>
        <w:ind w:firstLineChars="200" w:firstLine="480"/>
        <w:rPr>
          <w:rFonts w:asciiTheme="minorEastAsia" w:eastAsiaTheme="minorEastAsia" w:hAnsiTheme="minorEastAsia" w:cs="Arial"/>
          <w:bCs/>
          <w:sz w:val="24"/>
        </w:rPr>
      </w:pPr>
      <w:r w:rsidRPr="004011EC">
        <w:rPr>
          <w:rFonts w:asciiTheme="minorEastAsia" w:eastAsiaTheme="minorEastAsia" w:hAnsiTheme="minorEastAsia" w:cs="Arial"/>
          <w:bCs/>
          <w:sz w:val="24"/>
        </w:rPr>
        <w:t>5</w:t>
      </w:r>
      <w:r w:rsidRPr="004011EC">
        <w:rPr>
          <w:rFonts w:asciiTheme="minorEastAsia" w:eastAsiaTheme="minorEastAsia" w:hAnsiTheme="minorEastAsia" w:cs="Arial" w:hint="eastAsia"/>
          <w:bCs/>
          <w:sz w:val="24"/>
        </w:rPr>
        <w:t>、红利再投资获得的基金份额跟随原份额计算锁定持有期；</w:t>
      </w:r>
    </w:p>
    <w:p w14:paraId="2EB456D2" w14:textId="77777777" w:rsidR="004011EC" w:rsidRPr="004011EC" w:rsidRDefault="004011EC" w:rsidP="004011EC">
      <w:pPr>
        <w:adjustRightInd w:val="0"/>
        <w:snapToGrid w:val="0"/>
        <w:spacing w:before="240" w:after="240" w:line="276" w:lineRule="auto"/>
        <w:ind w:firstLineChars="200" w:firstLine="480"/>
        <w:rPr>
          <w:rFonts w:asciiTheme="minorEastAsia" w:eastAsiaTheme="minorEastAsia" w:hAnsiTheme="minorEastAsia" w:cs="Arial"/>
          <w:bCs/>
          <w:sz w:val="24"/>
        </w:rPr>
      </w:pPr>
      <w:r w:rsidRPr="004011EC">
        <w:rPr>
          <w:rFonts w:asciiTheme="minorEastAsia" w:eastAsiaTheme="minorEastAsia" w:hAnsiTheme="minorEastAsia" w:cs="Arial" w:hint="eastAsia"/>
          <w:bCs/>
          <w:sz w:val="24"/>
        </w:rPr>
        <w:t>6、法律法规或监管机关另有规定的，从其规定。</w:t>
      </w:r>
    </w:p>
    <w:p w14:paraId="57738C4E" w14:textId="150DC811" w:rsidR="004011EC" w:rsidRPr="004011EC" w:rsidRDefault="004011EC" w:rsidP="004011EC">
      <w:pPr>
        <w:adjustRightInd w:val="0"/>
        <w:snapToGrid w:val="0"/>
        <w:spacing w:before="240" w:after="240" w:line="276" w:lineRule="auto"/>
        <w:ind w:firstLineChars="200" w:firstLine="480"/>
        <w:rPr>
          <w:rFonts w:asciiTheme="minorEastAsia" w:eastAsiaTheme="minorEastAsia" w:hAnsiTheme="minorEastAsia" w:cs="Arial"/>
          <w:bCs/>
          <w:sz w:val="24"/>
        </w:rPr>
      </w:pPr>
      <w:r w:rsidRPr="004011EC">
        <w:rPr>
          <w:rFonts w:asciiTheme="minorEastAsia" w:eastAsiaTheme="minorEastAsia" w:hAnsiTheme="minorEastAsia" w:cs="Arial" w:hint="eastAsia"/>
          <w:bCs/>
          <w:sz w:val="24"/>
        </w:rPr>
        <w:t>在对基金份额持有人利益无实质性不利影响的前提下，基金管理人</w:t>
      </w:r>
      <w:r w:rsidR="00DF6111">
        <w:rPr>
          <w:rFonts w:asciiTheme="minorEastAsia" w:eastAsiaTheme="minorEastAsia" w:hAnsiTheme="minorEastAsia" w:cs="Arial" w:hint="eastAsia"/>
          <w:bCs/>
          <w:sz w:val="24"/>
        </w:rPr>
        <w:t>在与基金托管人协商一致后</w:t>
      </w:r>
      <w:r w:rsidRPr="004011EC">
        <w:rPr>
          <w:rFonts w:asciiTheme="minorEastAsia" w:eastAsiaTheme="minorEastAsia" w:hAnsiTheme="minorEastAsia" w:cs="Arial" w:hint="eastAsia"/>
          <w:bCs/>
          <w:sz w:val="24"/>
        </w:rPr>
        <w:t>可对基金收益分配原则和支付方式进行调整，不需召开基金份额持有人大会，但应于变更实施日前按照《信息披露办法》的要求在规定媒介公告。</w:t>
      </w:r>
    </w:p>
    <w:p w14:paraId="2583ED0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lastRenderedPageBreak/>
        <w:t>（二）基金收益分配的时间和程序</w:t>
      </w:r>
    </w:p>
    <w:p w14:paraId="512964FC" w14:textId="52FBD0C4" w:rsidR="009D164B" w:rsidRPr="0040323D" w:rsidRDefault="00755F9A">
      <w:pPr>
        <w:adjustRightInd w:val="0"/>
        <w:snapToGrid w:val="0"/>
        <w:spacing w:before="240" w:after="240" w:line="276" w:lineRule="auto"/>
        <w:ind w:firstLineChars="200" w:firstLine="480"/>
        <w:rPr>
          <w:rFonts w:asciiTheme="minorEastAsia" w:eastAsiaTheme="minorEastAsia" w:hAnsiTheme="minorEastAsia" w:cs="Arial"/>
          <w:bCs/>
          <w:sz w:val="24"/>
        </w:rPr>
      </w:pPr>
      <w:r w:rsidRPr="00755F9A">
        <w:rPr>
          <w:rFonts w:asciiTheme="minorEastAsia" w:eastAsiaTheme="minorEastAsia" w:hAnsiTheme="minorEastAsia" w:cs="Arial" w:hint="eastAsia"/>
          <w:bCs/>
          <w:sz w:val="24"/>
        </w:rPr>
        <w:t>本基金收益分配方案由基金管理人拟定，并由基金托管人复核，依照《信息披露办法》的有关规定在规定媒介公告。</w:t>
      </w:r>
      <w:r w:rsidR="00AF3B6B" w:rsidRPr="0040323D">
        <w:rPr>
          <w:rFonts w:asciiTheme="minorEastAsia" w:eastAsiaTheme="minorEastAsia" w:hAnsiTheme="minorEastAsia" w:cs="Arial" w:hint="eastAsia"/>
          <w:bCs/>
          <w:sz w:val="24"/>
        </w:rPr>
        <w:t>基金收益分配方案公告后</w:t>
      </w:r>
      <w:r w:rsidR="00AF3B6B" w:rsidRPr="0040323D">
        <w:rPr>
          <w:rFonts w:asciiTheme="minorEastAsia" w:eastAsiaTheme="minorEastAsia" w:hAnsiTheme="minorEastAsia" w:cs="Arial"/>
          <w:bCs/>
          <w:sz w:val="24"/>
        </w:rPr>
        <w:t>(依据具体方案的规定)，基金管理人就支付的现金红利向基金托管人发送划款指令，基金托管人按照基金管理人的指令及时进行分红资金的划付。</w:t>
      </w:r>
    </w:p>
    <w:p w14:paraId="67EFA0E3" w14:textId="77777777" w:rsidR="009B5ED2" w:rsidRPr="009B5ED2" w:rsidRDefault="009B5ED2" w:rsidP="009B5ED2">
      <w:pPr>
        <w:adjustRightInd w:val="0"/>
        <w:snapToGrid w:val="0"/>
        <w:spacing w:before="240" w:after="240" w:line="276" w:lineRule="auto"/>
        <w:ind w:firstLineChars="200" w:firstLine="480"/>
        <w:rPr>
          <w:rFonts w:asciiTheme="minorEastAsia" w:eastAsiaTheme="minorEastAsia" w:hAnsiTheme="minorEastAsia" w:cs="Arial"/>
          <w:bCs/>
          <w:sz w:val="24"/>
        </w:rPr>
      </w:pPr>
      <w:r w:rsidRPr="009B5ED2">
        <w:rPr>
          <w:rFonts w:asciiTheme="minorEastAsia" w:eastAsiaTheme="minorEastAsia" w:hAnsiTheme="minorEastAsia" w:cs="Arial"/>
          <w:bCs/>
          <w:sz w:val="24"/>
        </w:rPr>
        <w:t>基金收益分配时所发生的银行转账或其他手续费用由投资者自行承担。</w:t>
      </w:r>
      <w:r w:rsidRPr="009B5ED2">
        <w:rPr>
          <w:rFonts w:asciiTheme="minorEastAsia" w:eastAsiaTheme="minorEastAsia" w:hAnsiTheme="minorEastAsia" w:cs="Arial" w:hint="eastAsia"/>
          <w:bCs/>
          <w:sz w:val="24"/>
        </w:rPr>
        <w:t>当投资者的现金红利小于一定金额，不足以支付银行转账或其他手续费用时，基金登记机构可将基金份额持有人的现金红利自动转为相应类别的基金份额。红利再投资的计算方法，依照《业务规则》执行。</w:t>
      </w:r>
    </w:p>
    <w:p w14:paraId="64A74E8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（三）实施侧袋机制期间的收益分配</w:t>
      </w:r>
    </w:p>
    <w:p w14:paraId="017D9B7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bCs/>
          <w:sz w:val="24"/>
        </w:rPr>
      </w:pPr>
      <w:r w:rsidRPr="0040323D">
        <w:rPr>
          <w:rFonts w:asciiTheme="minorEastAsia" w:eastAsiaTheme="minorEastAsia" w:hAnsiTheme="minorEastAsia" w:cs="Arial" w:hint="eastAsia"/>
          <w:bCs/>
          <w:sz w:val="24"/>
        </w:rPr>
        <w:t>本基金实施侧袋机制的，侧袋账户不进行收益分配，详见招募说明书的规定。</w:t>
      </w:r>
    </w:p>
    <w:p w14:paraId="4AC20410" w14:textId="77777777" w:rsidR="009D164B" w:rsidRPr="0040323D" w:rsidRDefault="009D164B">
      <w:pPr>
        <w:adjustRightInd w:val="0"/>
        <w:snapToGrid w:val="0"/>
        <w:spacing w:before="240" w:after="240" w:line="276" w:lineRule="auto"/>
        <w:rPr>
          <w:rFonts w:asciiTheme="minorEastAsia" w:eastAsiaTheme="minorEastAsia" w:hAnsiTheme="minorEastAsia" w:cs="Arial"/>
          <w:sz w:val="24"/>
        </w:rPr>
      </w:pPr>
    </w:p>
    <w:p w14:paraId="1022BFDF"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04" w:name="_Toc124325894"/>
      <w:r w:rsidRPr="0040323D">
        <w:rPr>
          <w:rFonts w:asciiTheme="minorEastAsia" w:eastAsiaTheme="minorEastAsia" w:hAnsiTheme="minorEastAsia" w:hint="eastAsia"/>
          <w:sz w:val="30"/>
        </w:rPr>
        <w:t>十、基金信息披露</w:t>
      </w:r>
      <w:bookmarkEnd w:id="104"/>
    </w:p>
    <w:p w14:paraId="202775B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（一）保密义务</w:t>
      </w:r>
    </w:p>
    <w:p w14:paraId="24DC1E6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2B86903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1.非因基金管理人和基金托管人的原因导致保密信息被披露、泄露或公开；</w:t>
      </w:r>
    </w:p>
    <w:p w14:paraId="64563B3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2.基金管理人和基金托管人为遵守和服从法院判决或裁定、仲裁裁决或中国证监会等监管机构的命令、决定所做出的信息披露或公开；</w:t>
      </w:r>
    </w:p>
    <w:p w14:paraId="5B2A3BD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3、基金管理人和基金托管人在要求保密的前提下对自身聘请的外部法律顾问、财务顾问、审计人员、技术顾问等做出的必要信息披露。</w:t>
      </w:r>
    </w:p>
    <w:p w14:paraId="7E45996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（二）信息披露的内容</w:t>
      </w:r>
    </w:p>
    <w:p w14:paraId="690652BB" w14:textId="4E408376"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的信息披露内容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清算报告、</w:t>
      </w:r>
      <w:r w:rsidR="00453EA8" w:rsidRPr="00453EA8">
        <w:rPr>
          <w:rFonts w:asciiTheme="minorEastAsia" w:eastAsiaTheme="minorEastAsia" w:hAnsiTheme="minorEastAsia" w:cs="Arial" w:hint="eastAsia"/>
          <w:sz w:val="24"/>
        </w:rPr>
        <w:t>证券投资</w:t>
      </w:r>
      <w:r w:rsidR="00453EA8" w:rsidRPr="00453EA8">
        <w:rPr>
          <w:rFonts w:asciiTheme="minorEastAsia" w:eastAsiaTheme="minorEastAsia" w:hAnsiTheme="minorEastAsia" w:cs="Arial" w:hint="eastAsia"/>
          <w:sz w:val="24"/>
        </w:rPr>
        <w:lastRenderedPageBreak/>
        <w:t>基金的投资情况、</w:t>
      </w:r>
      <w:r w:rsidRPr="0040323D">
        <w:rPr>
          <w:rFonts w:asciiTheme="minorEastAsia" w:eastAsiaTheme="minorEastAsia" w:hAnsiTheme="minorEastAsia" w:cs="Arial" w:hint="eastAsia"/>
          <w:sz w:val="24"/>
        </w:rPr>
        <w:t>资产支持证券的</w:t>
      </w:r>
      <w:r w:rsidRPr="0040323D">
        <w:rPr>
          <w:rFonts w:asciiTheme="minorEastAsia" w:eastAsiaTheme="minorEastAsia" w:hAnsiTheme="minorEastAsia" w:cs="Arial"/>
          <w:sz w:val="24"/>
        </w:rPr>
        <w:t>信息披露</w:t>
      </w:r>
      <w:r w:rsidRPr="0040323D">
        <w:rPr>
          <w:rFonts w:asciiTheme="minorEastAsia" w:eastAsiaTheme="minorEastAsia" w:hAnsiTheme="minorEastAsia" w:cs="Arial" w:hint="eastAsia"/>
          <w:sz w:val="24"/>
        </w:rPr>
        <w:t>、投资</w:t>
      </w:r>
      <w:r w:rsidR="007E58B2" w:rsidRPr="007E58B2">
        <w:rPr>
          <w:rFonts w:asciiTheme="minorEastAsia" w:eastAsiaTheme="minorEastAsia" w:hAnsiTheme="minorEastAsia" w:cs="Arial" w:hint="eastAsia"/>
          <w:sz w:val="24"/>
        </w:rPr>
        <w:t>股指期货、</w:t>
      </w:r>
      <w:r w:rsidRPr="0040323D">
        <w:rPr>
          <w:rFonts w:asciiTheme="minorEastAsia" w:eastAsiaTheme="minorEastAsia" w:hAnsiTheme="minorEastAsia" w:cs="Arial" w:hint="eastAsia"/>
          <w:sz w:val="24"/>
        </w:rPr>
        <w:t>国债期货的信息披露、</w:t>
      </w:r>
      <w:r w:rsidR="009B5ED2">
        <w:rPr>
          <w:rFonts w:asciiTheme="minorEastAsia" w:eastAsiaTheme="minorEastAsia" w:hAnsiTheme="minorEastAsia" w:cs="Arial" w:hint="eastAsia"/>
          <w:sz w:val="24"/>
        </w:rPr>
        <w:t>投资股票期权的信息披露、</w:t>
      </w:r>
      <w:r w:rsidRPr="0040323D">
        <w:rPr>
          <w:rFonts w:asciiTheme="minorEastAsia" w:eastAsiaTheme="minorEastAsia" w:hAnsiTheme="minorEastAsia" w:cs="Arial" w:hint="eastAsia"/>
          <w:sz w:val="24"/>
        </w:rPr>
        <w:t>投资信用衍生品的信息披露、</w:t>
      </w:r>
      <w:r w:rsidR="00AE576E" w:rsidRPr="00AE576E">
        <w:rPr>
          <w:rFonts w:asciiTheme="minorEastAsia" w:eastAsiaTheme="minorEastAsia" w:hAnsiTheme="minorEastAsia" w:cs="Arial" w:hint="eastAsia"/>
          <w:sz w:val="24"/>
        </w:rPr>
        <w:t>参与港股通标的股票交易的</w:t>
      </w:r>
      <w:r w:rsidR="00AE576E">
        <w:rPr>
          <w:rFonts w:asciiTheme="minorEastAsia" w:eastAsiaTheme="minorEastAsia" w:hAnsiTheme="minorEastAsia" w:cs="Arial" w:hint="eastAsia"/>
          <w:sz w:val="24"/>
        </w:rPr>
        <w:t>信息披露、</w:t>
      </w:r>
      <w:r w:rsidRPr="0040323D">
        <w:rPr>
          <w:rFonts w:asciiTheme="minorEastAsia" w:eastAsiaTheme="minorEastAsia" w:hAnsiTheme="minorEastAsia" w:cs="Arial" w:hint="eastAsia"/>
          <w:sz w:val="24"/>
        </w:rPr>
        <w:t>实施</w:t>
      </w:r>
      <w:proofErr w:type="gramStart"/>
      <w:r w:rsidRPr="0040323D">
        <w:rPr>
          <w:rFonts w:asciiTheme="minorEastAsia" w:eastAsiaTheme="minorEastAsia" w:hAnsiTheme="minorEastAsia" w:cs="Arial" w:hint="eastAsia"/>
          <w:sz w:val="24"/>
        </w:rPr>
        <w:t>侧袋机制</w:t>
      </w:r>
      <w:proofErr w:type="gramEnd"/>
      <w:r w:rsidRPr="0040323D">
        <w:rPr>
          <w:rFonts w:asciiTheme="minorEastAsia" w:eastAsiaTheme="minorEastAsia" w:hAnsiTheme="minorEastAsia" w:cs="Arial" w:hint="eastAsia"/>
          <w:sz w:val="24"/>
        </w:rPr>
        <w:t>期间的信息披露、中国证监会规定应予公开披露的其他信息等。基金年度报告中的财务会计报告需经过符合《中华人民共和国证券法》规定的会计师事务所审计后，方可披露。</w:t>
      </w:r>
    </w:p>
    <w:p w14:paraId="32A0BDC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（三）基金托管人和基金管理人在信息披露中的职责和信息披露程序</w:t>
      </w:r>
    </w:p>
    <w:p w14:paraId="5B9D6012"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1.职责</w:t>
      </w:r>
    </w:p>
    <w:p w14:paraId="3F7B7824"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F4E32D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基金管理人和基金托管人应积极配合、互相监督，保证其履行按照法定方式和限时披露的义务。</w:t>
      </w:r>
    </w:p>
    <w:p w14:paraId="6602517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01FCA59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当出现下述情况时，基金管理人和基金托管人可暂停或延迟披露基金相关信息：</w:t>
      </w:r>
    </w:p>
    <w:p w14:paraId="7CB79209" w14:textId="1255257A" w:rsidR="008F5386" w:rsidRPr="008F5386" w:rsidRDefault="008F5386" w:rsidP="008F5386">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（1）</w:t>
      </w:r>
      <w:r w:rsidRPr="008F5386">
        <w:rPr>
          <w:rFonts w:asciiTheme="minorEastAsia" w:eastAsiaTheme="minorEastAsia" w:hAnsiTheme="minorEastAsia" w:cs="Arial" w:hint="eastAsia"/>
          <w:bCs/>
          <w:sz w:val="24"/>
        </w:rPr>
        <w:t>基金投资所涉及的证券、期货交易所或外汇市场遇法定节假日或因其他原因暂停营业时；</w:t>
      </w:r>
    </w:p>
    <w:p w14:paraId="296A62A6" w14:textId="20FACFA7" w:rsidR="008F5386" w:rsidRPr="008F5386" w:rsidRDefault="008F5386" w:rsidP="008F5386">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w:t>
      </w:r>
      <w:r w:rsidRPr="008F5386">
        <w:rPr>
          <w:rFonts w:asciiTheme="minorEastAsia" w:eastAsiaTheme="minorEastAsia" w:hAnsiTheme="minorEastAsia" w:cs="Arial" w:hint="eastAsia"/>
          <w:bCs/>
          <w:sz w:val="24"/>
        </w:rPr>
        <w:t>因不可抗力或其他情形致使基金管理人、基金托管人无法准确评估基金资产价值时；</w:t>
      </w:r>
    </w:p>
    <w:p w14:paraId="71574C0C" w14:textId="47B564DF" w:rsidR="008F5386" w:rsidRPr="008F5386" w:rsidRDefault="008F5386" w:rsidP="008F5386">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（3）</w:t>
      </w:r>
      <w:r w:rsidRPr="008F5386">
        <w:rPr>
          <w:rFonts w:asciiTheme="minorEastAsia" w:eastAsiaTheme="minorEastAsia" w:hAnsiTheme="minorEastAsia" w:cs="Arial" w:hint="eastAsia"/>
          <w:bCs/>
          <w:sz w:val="24"/>
        </w:rPr>
        <w:t>法律法规规定、中国证监会或基金合同认定的其他情形。</w:t>
      </w:r>
    </w:p>
    <w:p w14:paraId="700CB1CB"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2.程序</w:t>
      </w:r>
    </w:p>
    <w:p w14:paraId="320DBB7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3DECFA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3.信息文本的存放</w:t>
      </w:r>
    </w:p>
    <w:p w14:paraId="25D01AD2" w14:textId="1FC39B62"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依法必须披露的信息发布后，基金管理人、基金托管人应当按照相关法律法规规定将信息置备于公司住所，供社会公众查阅、复制。投资者在支付工本费后可在</w:t>
      </w:r>
      <w:r w:rsidRPr="0040323D">
        <w:rPr>
          <w:rFonts w:asciiTheme="minorEastAsia" w:eastAsiaTheme="minorEastAsia" w:hAnsiTheme="minorEastAsia" w:cs="Arial" w:hint="eastAsia"/>
          <w:sz w:val="24"/>
        </w:rPr>
        <w:lastRenderedPageBreak/>
        <w:t>合理时间获得相关文件的复制件或复印件。基金管理人和基金托管人应保证文本的内容与所公告的内容完全一致。</w:t>
      </w:r>
    </w:p>
    <w:p w14:paraId="3BA1C122"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（四）实施侧袋机制期间的信息披露</w:t>
      </w:r>
    </w:p>
    <w:p w14:paraId="477AFCD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本基金实施侧袋机制的，相关信息披露义务人应当根据法律法规、基金合同和招募说明书的规定进行信息披露，详见招募说明书的规定。</w:t>
      </w:r>
    </w:p>
    <w:p w14:paraId="54425C28" w14:textId="77777777" w:rsidR="009D164B" w:rsidRPr="0040323D" w:rsidRDefault="009D164B">
      <w:pPr>
        <w:pStyle w:val="a0"/>
        <w:spacing w:before="240" w:after="240" w:line="276" w:lineRule="auto"/>
        <w:ind w:firstLineChars="0" w:firstLine="0"/>
        <w:rPr>
          <w:rFonts w:asciiTheme="minorEastAsia" w:eastAsiaTheme="minorEastAsia" w:hAnsiTheme="minorEastAsia" w:cs="Arial"/>
          <w:sz w:val="24"/>
        </w:rPr>
      </w:pPr>
    </w:p>
    <w:p w14:paraId="10D65023"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05" w:name="_Toc124325895"/>
      <w:r w:rsidRPr="0040323D">
        <w:rPr>
          <w:rFonts w:asciiTheme="minorEastAsia" w:eastAsiaTheme="minorEastAsia" w:hAnsiTheme="minorEastAsia" w:hint="eastAsia"/>
          <w:sz w:val="30"/>
        </w:rPr>
        <w:t>十一、基金费用</w:t>
      </w:r>
      <w:bookmarkEnd w:id="105"/>
    </w:p>
    <w:p w14:paraId="08CD0DE2"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bookmarkStart w:id="106" w:name="_Hlk109913376"/>
      <w:r w:rsidRPr="0040323D">
        <w:rPr>
          <w:rFonts w:asciiTheme="minorEastAsia" w:eastAsiaTheme="minorEastAsia" w:hAnsiTheme="minorEastAsia" w:cs="Arial" w:hint="eastAsia"/>
          <w:sz w:val="24"/>
        </w:rPr>
        <w:t>（一）基金管理费的计提比例和计提方法</w:t>
      </w:r>
    </w:p>
    <w:p w14:paraId="62F1EA9B" w14:textId="4BAAB5FA" w:rsidR="00157697" w:rsidRPr="00157697" w:rsidRDefault="00453EA8"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453EA8">
        <w:rPr>
          <w:rFonts w:asciiTheme="minorEastAsia" w:eastAsiaTheme="minorEastAsia" w:hAnsiTheme="minorEastAsia" w:cs="Arial" w:hint="eastAsia"/>
          <w:bCs/>
          <w:sz w:val="24"/>
        </w:rPr>
        <w:t>本基金基金财产中投资于本基金管理人管理的其他基金份额的部分不收取管理费。在通常情况下，本基金的管理费按前一日基金资产净值扣除基金资产中本基金管理人管理的其他基金份额所对应资产净值后剩余部分（若为负数，则取0）</w:t>
      </w:r>
      <w:r w:rsidR="00157697" w:rsidRPr="00157697">
        <w:rPr>
          <w:rFonts w:asciiTheme="minorEastAsia" w:eastAsiaTheme="minorEastAsia" w:hAnsiTheme="minorEastAsia" w:cs="Arial"/>
          <w:bCs/>
          <w:sz w:val="24"/>
        </w:rPr>
        <w:t>的0.60%年费率计提。管理费的计算方法如下：</w:t>
      </w:r>
    </w:p>
    <w:p w14:paraId="75C2213C"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bCs/>
          <w:sz w:val="24"/>
        </w:rPr>
        <w:t>H＝E×0.60%÷当年天数</w:t>
      </w:r>
    </w:p>
    <w:p w14:paraId="3381EE56"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bCs/>
          <w:sz w:val="24"/>
        </w:rPr>
        <w:t>H为每日应计提的基金管理费</w:t>
      </w:r>
    </w:p>
    <w:p w14:paraId="25C823B9" w14:textId="77777777" w:rsidR="00453EA8" w:rsidRDefault="00453EA8">
      <w:pPr>
        <w:adjustRightInd w:val="0"/>
        <w:snapToGrid w:val="0"/>
        <w:spacing w:before="240" w:after="240" w:line="276" w:lineRule="auto"/>
        <w:ind w:firstLineChars="200" w:firstLine="480"/>
        <w:rPr>
          <w:rFonts w:asciiTheme="minorEastAsia" w:eastAsiaTheme="minorEastAsia" w:hAnsiTheme="minorEastAsia" w:cs="Arial"/>
          <w:bCs/>
          <w:sz w:val="24"/>
        </w:rPr>
      </w:pPr>
      <w:r w:rsidRPr="00453EA8">
        <w:rPr>
          <w:rFonts w:asciiTheme="minorEastAsia" w:eastAsiaTheme="minorEastAsia" w:hAnsiTheme="minorEastAsia" w:cs="Arial" w:hint="eastAsia"/>
          <w:bCs/>
          <w:sz w:val="24"/>
        </w:rPr>
        <w:t>E为前一日的基金资产净值扣除基金财产中本基金基金管理人管理的其他基金份额所对应资产净值的剩余部分；若为负数，则E取0。</w:t>
      </w:r>
    </w:p>
    <w:p w14:paraId="335118C4"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（二）基金托管费的计提比例和计提方法</w:t>
      </w:r>
    </w:p>
    <w:p w14:paraId="50988323" w14:textId="7DFD18C4" w:rsidR="00157697" w:rsidRPr="00157697" w:rsidRDefault="00453EA8"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453EA8">
        <w:rPr>
          <w:rFonts w:asciiTheme="minorEastAsia" w:eastAsiaTheme="minorEastAsia" w:hAnsiTheme="minorEastAsia" w:cs="Arial" w:hint="eastAsia"/>
          <w:bCs/>
          <w:sz w:val="24"/>
        </w:rPr>
        <w:t>本基金基金财产中投资于本基金托管人托管的其他基金份额的部分不收取托管费。在通常情况下，本基金的托管费按前一日基金资产净值扣除基金资产中本基金托管人托管的其他基金份额所对应资产净值后剩余部分（若为负数，则取0）的</w:t>
      </w:r>
      <w:r w:rsidR="00157697" w:rsidRPr="00157697">
        <w:rPr>
          <w:rFonts w:asciiTheme="minorEastAsia" w:eastAsiaTheme="minorEastAsia" w:hAnsiTheme="minorEastAsia" w:cs="Arial" w:hint="eastAsia"/>
          <w:bCs/>
          <w:sz w:val="24"/>
        </w:rPr>
        <w:t>0.</w:t>
      </w:r>
      <w:r w:rsidR="008C58F0">
        <w:rPr>
          <w:rFonts w:asciiTheme="minorEastAsia" w:eastAsiaTheme="minorEastAsia" w:hAnsiTheme="minorEastAsia" w:cs="Arial"/>
          <w:bCs/>
          <w:sz w:val="24"/>
        </w:rPr>
        <w:t>15</w:t>
      </w:r>
      <w:r w:rsidR="00157697" w:rsidRPr="00157697">
        <w:rPr>
          <w:rFonts w:asciiTheme="minorEastAsia" w:eastAsiaTheme="minorEastAsia" w:hAnsiTheme="minorEastAsia" w:cs="Arial"/>
          <w:bCs/>
          <w:sz w:val="24"/>
        </w:rPr>
        <w:t>%的年费率计提。托管费的计算方法如下：</w:t>
      </w:r>
    </w:p>
    <w:p w14:paraId="05EBA465" w14:textId="71AC0EF0"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bCs/>
          <w:sz w:val="24"/>
        </w:rPr>
        <w:t>H＝E×0.</w:t>
      </w:r>
      <w:r w:rsidR="008C58F0">
        <w:rPr>
          <w:rFonts w:asciiTheme="minorEastAsia" w:eastAsiaTheme="minorEastAsia" w:hAnsiTheme="minorEastAsia" w:cs="Arial"/>
          <w:bCs/>
          <w:sz w:val="24"/>
        </w:rPr>
        <w:t>15</w:t>
      </w:r>
      <w:r w:rsidRPr="00157697">
        <w:rPr>
          <w:rFonts w:asciiTheme="minorEastAsia" w:eastAsiaTheme="minorEastAsia" w:hAnsiTheme="minorEastAsia" w:cs="Arial"/>
          <w:bCs/>
          <w:sz w:val="24"/>
        </w:rPr>
        <w:t>%÷当年天数</w:t>
      </w:r>
    </w:p>
    <w:p w14:paraId="3C0E5F87"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bCs/>
          <w:sz w:val="24"/>
        </w:rPr>
        <w:t>H为每日应计提的基金托管费</w:t>
      </w:r>
    </w:p>
    <w:p w14:paraId="3025ED10" w14:textId="77777777" w:rsidR="00453EA8" w:rsidRDefault="00453EA8">
      <w:pPr>
        <w:adjustRightInd w:val="0"/>
        <w:snapToGrid w:val="0"/>
        <w:spacing w:before="240" w:after="240" w:line="276" w:lineRule="auto"/>
        <w:ind w:firstLineChars="200" w:firstLine="480"/>
        <w:rPr>
          <w:rFonts w:asciiTheme="minorEastAsia" w:eastAsiaTheme="minorEastAsia" w:hAnsiTheme="minorEastAsia" w:cs="Arial"/>
          <w:bCs/>
          <w:sz w:val="24"/>
        </w:rPr>
      </w:pPr>
      <w:r w:rsidRPr="00453EA8">
        <w:rPr>
          <w:rFonts w:asciiTheme="minorEastAsia" w:eastAsiaTheme="minorEastAsia" w:hAnsiTheme="minorEastAsia" w:cs="Arial" w:hint="eastAsia"/>
          <w:bCs/>
          <w:sz w:val="24"/>
        </w:rPr>
        <w:t>E为前一日的基金资产净值扣除基金财产中本基金基金托管人托管的其他基金份额所对应资产净值的剩余部分；若为负数，则E取0。</w:t>
      </w:r>
    </w:p>
    <w:p w14:paraId="6EC1586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（三）销售服务费的计提比例和计提方法</w:t>
      </w:r>
    </w:p>
    <w:bookmarkEnd w:id="106"/>
    <w:p w14:paraId="75C1C637"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hint="eastAsia"/>
          <w:bCs/>
          <w:sz w:val="24"/>
        </w:rPr>
        <w:t>本基金A类基金份额不收取销售服务费，C类基金份额的销售服务费年费率为</w:t>
      </w:r>
      <w:r w:rsidRPr="00157697">
        <w:rPr>
          <w:rFonts w:asciiTheme="minorEastAsia" w:eastAsiaTheme="minorEastAsia" w:hAnsiTheme="minorEastAsia" w:cs="Arial" w:hint="eastAsia"/>
          <w:bCs/>
          <w:sz w:val="24"/>
        </w:rPr>
        <w:lastRenderedPageBreak/>
        <w:t>0.4</w:t>
      </w:r>
      <w:r w:rsidRPr="00157697">
        <w:rPr>
          <w:rFonts w:asciiTheme="minorEastAsia" w:eastAsiaTheme="minorEastAsia" w:hAnsiTheme="minorEastAsia" w:cs="Arial"/>
          <w:bCs/>
          <w:sz w:val="24"/>
        </w:rPr>
        <w:t>0</w:t>
      </w:r>
      <w:r w:rsidRPr="00157697">
        <w:rPr>
          <w:rFonts w:asciiTheme="minorEastAsia" w:eastAsiaTheme="minorEastAsia" w:hAnsiTheme="minorEastAsia" w:cs="Arial" w:hint="eastAsia"/>
          <w:bCs/>
          <w:sz w:val="24"/>
        </w:rPr>
        <w:t>%，按前一日C类基金份额的基金资产净值的0.4</w:t>
      </w:r>
      <w:r w:rsidRPr="00157697">
        <w:rPr>
          <w:rFonts w:asciiTheme="minorEastAsia" w:eastAsiaTheme="minorEastAsia" w:hAnsiTheme="minorEastAsia" w:cs="Arial"/>
          <w:bCs/>
          <w:sz w:val="24"/>
        </w:rPr>
        <w:t>0</w:t>
      </w:r>
      <w:r w:rsidRPr="00157697">
        <w:rPr>
          <w:rFonts w:asciiTheme="minorEastAsia" w:eastAsiaTheme="minorEastAsia" w:hAnsiTheme="minorEastAsia" w:cs="Arial" w:hint="eastAsia"/>
          <w:bCs/>
          <w:sz w:val="24"/>
        </w:rPr>
        <w:t>%年费率计提。</w:t>
      </w:r>
    </w:p>
    <w:p w14:paraId="25DE297D"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hint="eastAsia"/>
          <w:bCs/>
          <w:sz w:val="24"/>
        </w:rPr>
        <w:t>销售服务费的计算方法如下：</w:t>
      </w:r>
    </w:p>
    <w:p w14:paraId="56EA5D7A"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hint="eastAsia"/>
          <w:bCs/>
          <w:sz w:val="24"/>
        </w:rPr>
        <w:t>H＝E×0.4</w:t>
      </w:r>
      <w:r w:rsidRPr="00157697">
        <w:rPr>
          <w:rFonts w:asciiTheme="minorEastAsia" w:eastAsiaTheme="minorEastAsia" w:hAnsiTheme="minorEastAsia" w:cs="Arial"/>
          <w:bCs/>
          <w:sz w:val="24"/>
        </w:rPr>
        <w:t>0</w:t>
      </w:r>
      <w:r w:rsidRPr="00157697">
        <w:rPr>
          <w:rFonts w:asciiTheme="minorEastAsia" w:eastAsiaTheme="minorEastAsia" w:hAnsiTheme="minorEastAsia" w:cs="Arial" w:hint="eastAsia"/>
          <w:bCs/>
          <w:sz w:val="24"/>
        </w:rPr>
        <w:t>%÷当年天数</w:t>
      </w:r>
    </w:p>
    <w:p w14:paraId="7810EC94"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hint="eastAsia"/>
          <w:bCs/>
          <w:sz w:val="24"/>
        </w:rPr>
        <w:t>H为C类基金份额每日应计提的销售服务费</w:t>
      </w:r>
    </w:p>
    <w:p w14:paraId="3C50F31C"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hint="eastAsia"/>
          <w:bCs/>
          <w:sz w:val="24"/>
        </w:rPr>
        <w:t>E为C类基金份额前一日基金资产净值</w:t>
      </w:r>
    </w:p>
    <w:p w14:paraId="4C602E71" w14:textId="1ECD6A74" w:rsidR="009D164B"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（四）基金的开户费用、账户维护费用、基金的证券、期货交易费用、基金的银行汇划费用、基金合同生效后与基金相关的信息披露费用</w:t>
      </w:r>
      <w:r w:rsidR="005926ED">
        <w:rPr>
          <w:rFonts w:asciiTheme="minorEastAsia" w:eastAsiaTheme="minorEastAsia" w:hAnsiTheme="minorEastAsia" w:cs="Arial" w:hint="eastAsia"/>
          <w:sz w:val="24"/>
        </w:rPr>
        <w:t>（</w:t>
      </w:r>
      <w:r w:rsidR="00EF7549" w:rsidRPr="006162F1">
        <w:rPr>
          <w:rFonts w:hint="eastAsia"/>
          <w:bCs/>
          <w:sz w:val="24"/>
        </w:rPr>
        <w:t>但法律法规、中国证监会另有规定的除外</w:t>
      </w:r>
      <w:r w:rsidR="005926ED">
        <w:rPr>
          <w:rFonts w:hint="eastAsia"/>
          <w:bCs/>
          <w:sz w:val="24"/>
        </w:rPr>
        <w:t>）</w:t>
      </w:r>
      <w:r w:rsidRPr="0040323D">
        <w:rPr>
          <w:rFonts w:asciiTheme="minorEastAsia" w:eastAsiaTheme="minorEastAsia" w:hAnsiTheme="minorEastAsia" w:cs="Arial" w:hint="eastAsia"/>
          <w:sz w:val="24"/>
        </w:rPr>
        <w:t>、基金份额持有人大会费用、基金合同生效后与基金相关的会计师费、律师费、诉讼费或仲裁费</w:t>
      </w:r>
      <w:r w:rsidR="00157697">
        <w:rPr>
          <w:rFonts w:asciiTheme="minorEastAsia" w:eastAsiaTheme="minorEastAsia" w:hAnsiTheme="minorEastAsia" w:cs="Arial" w:hint="eastAsia"/>
          <w:sz w:val="24"/>
        </w:rPr>
        <w:t>、</w:t>
      </w:r>
      <w:r w:rsidR="00157697" w:rsidRPr="00157697">
        <w:rPr>
          <w:rFonts w:asciiTheme="minorEastAsia" w:eastAsiaTheme="minorEastAsia" w:hAnsiTheme="minorEastAsia" w:cs="Arial" w:hint="eastAsia"/>
          <w:sz w:val="24"/>
        </w:rPr>
        <w:t>因投资港股通标的股票而产生的各项费用</w:t>
      </w:r>
      <w:r w:rsidR="00453EA8">
        <w:rPr>
          <w:rFonts w:asciiTheme="minorEastAsia" w:eastAsiaTheme="minorEastAsia" w:hAnsiTheme="minorEastAsia" w:cs="Arial" w:hint="eastAsia"/>
          <w:sz w:val="24"/>
        </w:rPr>
        <w:t>、</w:t>
      </w:r>
      <w:r w:rsidR="00453EA8" w:rsidRPr="00453EA8">
        <w:rPr>
          <w:rFonts w:asciiTheme="minorEastAsia" w:eastAsiaTheme="minorEastAsia" w:hAnsiTheme="minorEastAsia" w:cs="Arial" w:hint="eastAsia"/>
          <w:sz w:val="24"/>
        </w:rPr>
        <w:t>基金投资其他基金产生的其他基金的销售费用（但法律法规禁止从</w:t>
      </w:r>
      <w:r w:rsidR="00453EA8" w:rsidRPr="00222815">
        <w:rPr>
          <w:rFonts w:hint="eastAsia"/>
          <w:color w:val="000000"/>
          <w:sz w:val="24"/>
        </w:rPr>
        <w:t>基金财产中列支</w:t>
      </w:r>
      <w:r w:rsidR="00453EA8">
        <w:rPr>
          <w:rFonts w:hint="eastAsia"/>
          <w:bCs/>
          <w:color w:val="000000"/>
          <w:sz w:val="24"/>
        </w:rPr>
        <w:t>或</w:t>
      </w:r>
      <w:r w:rsidR="00453EA8">
        <w:rPr>
          <w:rFonts w:ascii="宋体" w:hAnsi="宋体" w:cs="Arial" w:hint="eastAsia"/>
          <w:kern w:val="0"/>
          <w:sz w:val="24"/>
        </w:rPr>
        <w:t>基金合同另有约定的除外）以及</w:t>
      </w:r>
      <w:r w:rsidRPr="0040323D">
        <w:rPr>
          <w:rFonts w:asciiTheme="minorEastAsia" w:eastAsiaTheme="minorEastAsia" w:hAnsiTheme="minorEastAsia" w:cs="Arial" w:hint="eastAsia"/>
          <w:sz w:val="24"/>
        </w:rPr>
        <w:t>按照国家有关规定和基金合同约定可以在基金财产中列支的其他费用，根据有关法规及相应协议规定，按费用实际支出金额列入当期费用，由基金财产支付。</w:t>
      </w:r>
    </w:p>
    <w:p w14:paraId="10D29F84" w14:textId="2064091F" w:rsidR="00453EA8" w:rsidRPr="0040323D" w:rsidRDefault="00453EA8">
      <w:pPr>
        <w:adjustRightInd w:val="0"/>
        <w:snapToGrid w:val="0"/>
        <w:spacing w:before="240" w:after="240" w:line="276" w:lineRule="auto"/>
        <w:ind w:firstLineChars="200" w:firstLine="480"/>
        <w:rPr>
          <w:rFonts w:asciiTheme="minorEastAsia" w:eastAsiaTheme="minorEastAsia" w:hAnsiTheme="minorEastAsia" w:cs="Arial"/>
          <w:sz w:val="24"/>
        </w:rPr>
      </w:pPr>
      <w:r w:rsidRPr="00453EA8">
        <w:rPr>
          <w:rFonts w:asciiTheme="minorEastAsia" w:eastAsiaTheme="minorEastAsia" w:hAnsiTheme="minorEastAsia" w:cs="Arial" w:hint="eastAsia"/>
          <w:sz w:val="24"/>
        </w:rPr>
        <w:t>基金管理人运用本基金财产申购其自身管理的其他基金的（ETF 除外），应当通过直销渠道申购且不得收取申购费、赎回费（按照相关法规、基金招募说明书约定应当收取，并记入基金财产的赎回费用除外）、销售服务费等销售费用。</w:t>
      </w:r>
    </w:p>
    <w:p w14:paraId="4EAA8F9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（五）不列入基金费用的项目</w:t>
      </w:r>
    </w:p>
    <w:p w14:paraId="00532D2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下列费用不列入基金费用：</w:t>
      </w:r>
    </w:p>
    <w:p w14:paraId="15D5039B"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bCs/>
          <w:sz w:val="24"/>
        </w:rPr>
        <w:t>1、基金管理人和基金托管人因未履行或未完全履行义务导致的费用支出或基金财产的损失；</w:t>
      </w:r>
    </w:p>
    <w:p w14:paraId="27F80F80"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bCs/>
          <w:sz w:val="24"/>
        </w:rPr>
        <w:t>2、基金管理人和基金托管人处理与基金运作无关的事项发生的费用；</w:t>
      </w:r>
    </w:p>
    <w:p w14:paraId="72777232"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bCs/>
          <w:sz w:val="24"/>
        </w:rPr>
        <w:t>3、基金合同生效前的相关费用；</w:t>
      </w:r>
    </w:p>
    <w:p w14:paraId="6B64DA0E" w14:textId="77777777"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sidRPr="00157697">
        <w:rPr>
          <w:rFonts w:asciiTheme="minorEastAsia" w:eastAsiaTheme="minorEastAsia" w:hAnsiTheme="minorEastAsia" w:cs="Arial"/>
          <w:bCs/>
          <w:sz w:val="24"/>
        </w:rPr>
        <w:t>4、其他根据相关法律法规及中国证监会的有关规定不得列入基金费用的项目。</w:t>
      </w:r>
      <w:bookmarkStart w:id="107" w:name="_Hlt88827255"/>
      <w:bookmarkEnd w:id="107"/>
    </w:p>
    <w:p w14:paraId="51C3C72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（六）基金管理费、基金托管费、</w:t>
      </w:r>
      <w:r w:rsidRPr="0040323D">
        <w:rPr>
          <w:rFonts w:asciiTheme="minorEastAsia" w:eastAsiaTheme="minorEastAsia" w:hAnsiTheme="minorEastAsia" w:cs="Arial"/>
          <w:sz w:val="24"/>
        </w:rPr>
        <w:t>销售服务费</w:t>
      </w:r>
      <w:r w:rsidRPr="0040323D">
        <w:rPr>
          <w:rFonts w:asciiTheme="minorEastAsia" w:eastAsiaTheme="minorEastAsia" w:hAnsiTheme="minorEastAsia" w:cs="Arial" w:hint="eastAsia"/>
          <w:sz w:val="24"/>
        </w:rPr>
        <w:t>的复核程序、支付方式和时间</w:t>
      </w:r>
    </w:p>
    <w:p w14:paraId="5EBBA90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1.复核程序</w:t>
      </w:r>
    </w:p>
    <w:p w14:paraId="604FB85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基金托管人对基金管理人计提的基金管理费、基金托管费、</w:t>
      </w:r>
      <w:r w:rsidRPr="0040323D">
        <w:rPr>
          <w:rFonts w:asciiTheme="minorEastAsia" w:eastAsiaTheme="minorEastAsia" w:hAnsiTheme="minorEastAsia" w:cs="Arial"/>
          <w:sz w:val="24"/>
        </w:rPr>
        <w:t>销售服务费</w:t>
      </w:r>
      <w:r w:rsidRPr="0040323D">
        <w:rPr>
          <w:rFonts w:asciiTheme="minorEastAsia" w:eastAsiaTheme="minorEastAsia" w:hAnsiTheme="minorEastAsia" w:cs="Arial" w:hint="eastAsia"/>
          <w:sz w:val="24"/>
        </w:rPr>
        <w:t>等，根据本托管协议和《基金合同》的有关规定进行复核。</w:t>
      </w:r>
    </w:p>
    <w:p w14:paraId="6D60FE02"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2.支付方式和时间</w:t>
      </w:r>
    </w:p>
    <w:p w14:paraId="3CFD8957" w14:textId="11D9085F"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lastRenderedPageBreak/>
        <w:t>基金管理费、基金托管费、销售服务费每日计提，按月支付。由基金托管人根据与基金管理人核对一致的财务数据，自动在次月月初</w:t>
      </w:r>
      <w:r w:rsidRPr="0040323D">
        <w:rPr>
          <w:rFonts w:asciiTheme="minorEastAsia" w:eastAsiaTheme="minorEastAsia" w:hAnsiTheme="minorEastAsia" w:cs="Arial"/>
          <w:sz w:val="24"/>
        </w:rPr>
        <w:t>5个工作日内、按照指定的账户路径进行资金支付，基金管理人无需再出具资金划拨指令。若遇法定节假日、休息日或不可抗力等，支付日期顺延</w:t>
      </w:r>
      <w:r w:rsidRPr="0040323D">
        <w:rPr>
          <w:rFonts w:asciiTheme="minorEastAsia" w:eastAsiaTheme="minorEastAsia" w:hAnsiTheme="minorEastAsia" w:cs="Arial" w:hint="eastAsia"/>
          <w:sz w:val="24"/>
        </w:rPr>
        <w:t>。费用自动扣划后，基金管理人应进行核对，如发现数据不符，及时联系基金托管人协商解决。</w:t>
      </w:r>
    </w:p>
    <w:p w14:paraId="10C68D9C" w14:textId="4E22DDFB"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在首期支付基金管理费、销售服务费前，基金管理人应向托管人出具正式函件指定基金管理费、销售服务费的收款账户。基金管理人如需要变更前述账户，应提前</w:t>
      </w:r>
      <w:r w:rsidRPr="0040323D">
        <w:rPr>
          <w:rFonts w:asciiTheme="minorEastAsia" w:eastAsiaTheme="minorEastAsia" w:hAnsiTheme="minorEastAsia" w:cs="Arial"/>
          <w:sz w:val="24"/>
        </w:rPr>
        <w:t>5个工作日向托管人出具书面的收款账户变更通知。</w:t>
      </w:r>
    </w:p>
    <w:p w14:paraId="2C335A3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（七）实施侧袋机制期间的基金费用</w:t>
      </w:r>
    </w:p>
    <w:p w14:paraId="4917A5F9" w14:textId="77777777" w:rsidR="009D164B" w:rsidRPr="0040323D" w:rsidRDefault="00AF3B6B">
      <w:pPr>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B4726B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（八）违规处理方式</w:t>
      </w:r>
    </w:p>
    <w:p w14:paraId="63A3F09F" w14:textId="4979A81A"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352F6EE" w14:textId="77777777" w:rsidR="009D164B" w:rsidRPr="0040323D" w:rsidRDefault="009D164B">
      <w:pPr>
        <w:adjustRightInd w:val="0"/>
        <w:snapToGrid w:val="0"/>
        <w:spacing w:before="240" w:after="240" w:line="276" w:lineRule="auto"/>
        <w:rPr>
          <w:rFonts w:asciiTheme="minorEastAsia" w:eastAsiaTheme="minorEastAsia" w:hAnsiTheme="minorEastAsia" w:cs="Arial"/>
          <w:sz w:val="24"/>
        </w:rPr>
      </w:pPr>
    </w:p>
    <w:p w14:paraId="40D7C2E8"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08" w:name="_Toc124325896"/>
      <w:r w:rsidRPr="0040323D">
        <w:rPr>
          <w:rFonts w:asciiTheme="minorEastAsia" w:eastAsiaTheme="minorEastAsia" w:hAnsiTheme="minorEastAsia" w:hint="eastAsia"/>
          <w:sz w:val="30"/>
        </w:rPr>
        <w:t>十二、基金份额持有人名册的保管</w:t>
      </w:r>
      <w:bookmarkEnd w:id="108"/>
    </w:p>
    <w:p w14:paraId="305D0BD5" w14:textId="65A79C2E"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低于法律法规规定的最低期限。如不能妥善保管，则按相关法规承担责任。</w:t>
      </w:r>
    </w:p>
    <w:p w14:paraId="7C9BC424"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在基金托管人要求或编制中期报告和年度报告前，基金管理人应将有关资料送交基金托管人，不得无故拒绝或延误提供，并保证其真实性、准确性和完整性。</w:t>
      </w:r>
      <w:r w:rsidRPr="0040323D">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14:paraId="7EC08A24" w14:textId="77777777" w:rsidR="009D164B" w:rsidRPr="0040323D" w:rsidRDefault="009D164B">
      <w:pPr>
        <w:adjustRightInd w:val="0"/>
        <w:snapToGrid w:val="0"/>
        <w:spacing w:before="240" w:after="240" w:line="276" w:lineRule="auto"/>
        <w:rPr>
          <w:rFonts w:asciiTheme="minorEastAsia" w:eastAsiaTheme="minorEastAsia" w:hAnsiTheme="minorEastAsia" w:cs="Arial"/>
          <w:sz w:val="24"/>
        </w:rPr>
      </w:pPr>
    </w:p>
    <w:p w14:paraId="3B808B07"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09" w:name="_Toc124325897"/>
      <w:r w:rsidRPr="0040323D">
        <w:rPr>
          <w:rFonts w:asciiTheme="minorEastAsia" w:eastAsiaTheme="minorEastAsia" w:hAnsiTheme="minorEastAsia" w:hint="eastAsia"/>
          <w:sz w:val="30"/>
        </w:rPr>
        <w:t>十三、基金有关文件档案的保存</w:t>
      </w:r>
      <w:bookmarkEnd w:id="109"/>
    </w:p>
    <w:p w14:paraId="4D62607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（一）档案保存</w:t>
      </w:r>
    </w:p>
    <w:p w14:paraId="521A7AC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5CE63409"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（二）合同档案的建立</w:t>
      </w:r>
    </w:p>
    <w:p w14:paraId="0667192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1.基金管理人签署重大合同文本后，应及时将合同文本正本送达基金托管人处。</w:t>
      </w:r>
    </w:p>
    <w:p w14:paraId="3C3BFB5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2.基金管理人应及时将与本基金账务处理、资金划拨等有关的合同、协议传真基金托管人。</w:t>
      </w:r>
    </w:p>
    <w:p w14:paraId="642688E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（三）变更与协助</w:t>
      </w:r>
    </w:p>
    <w:p w14:paraId="355F049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b/>
          <w:bCs/>
          <w:sz w:val="30"/>
          <w:szCs w:val="30"/>
        </w:rPr>
      </w:pPr>
      <w:r w:rsidRPr="0040323D">
        <w:rPr>
          <w:rFonts w:asciiTheme="minorEastAsia" w:eastAsiaTheme="minorEastAsia" w:hAnsiTheme="minorEastAsia" w:cs="Arial" w:hint="eastAsia"/>
          <w:sz w:val="24"/>
        </w:rPr>
        <w:t>若基金管理人</w:t>
      </w:r>
      <w:r w:rsidRPr="0040323D">
        <w:rPr>
          <w:rFonts w:asciiTheme="minorEastAsia" w:eastAsiaTheme="minorEastAsia" w:hAnsiTheme="minorEastAsia" w:cs="Arial"/>
          <w:sz w:val="24"/>
        </w:rPr>
        <w:t>/基金托管人发生变更，未变更的一方有义务协助变更后的接任人接收相应文件。</w:t>
      </w:r>
    </w:p>
    <w:p w14:paraId="1941278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（四）基金管理人和基金托管人应按各自职责完整保存原始凭证、记账凭证、基金账册、交易记录和重要合同等，承担保密义务并妥善保存，保存期限不低于法律法规规定的最低期限。</w:t>
      </w:r>
    </w:p>
    <w:p w14:paraId="7395F866" w14:textId="77777777" w:rsidR="009D164B" w:rsidRPr="0040323D" w:rsidRDefault="009D164B">
      <w:pPr>
        <w:adjustRightInd w:val="0"/>
        <w:snapToGrid w:val="0"/>
        <w:spacing w:before="240" w:after="240" w:line="276" w:lineRule="auto"/>
        <w:rPr>
          <w:rFonts w:asciiTheme="minorEastAsia" w:eastAsiaTheme="minorEastAsia" w:hAnsiTheme="minorEastAsia"/>
          <w:sz w:val="30"/>
          <w:szCs w:val="30"/>
        </w:rPr>
      </w:pPr>
    </w:p>
    <w:p w14:paraId="5B674E26"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10" w:name="_Toc124325898"/>
      <w:r w:rsidRPr="0040323D">
        <w:rPr>
          <w:rFonts w:asciiTheme="minorEastAsia" w:eastAsiaTheme="minorEastAsia" w:hAnsiTheme="minorEastAsia" w:hint="eastAsia"/>
          <w:sz w:val="30"/>
        </w:rPr>
        <w:t>十四、基金管理人和基金托管人的更换</w:t>
      </w:r>
      <w:bookmarkEnd w:id="110"/>
    </w:p>
    <w:p w14:paraId="252DF3A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（一）基金管理人职责终止的情形</w:t>
      </w:r>
    </w:p>
    <w:p w14:paraId="6EE8299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1.基金管理人职责终止的情形</w:t>
      </w:r>
    </w:p>
    <w:p w14:paraId="5B8FCE2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有下列情形之一的，基金管理人职责终止：</w:t>
      </w:r>
    </w:p>
    <w:p w14:paraId="0084CE91" w14:textId="299EE025"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（1）</w:t>
      </w:r>
      <w:r w:rsidRPr="00157697">
        <w:rPr>
          <w:rFonts w:asciiTheme="minorEastAsia" w:eastAsiaTheme="minorEastAsia" w:hAnsiTheme="minorEastAsia" w:cs="Arial"/>
          <w:bCs/>
          <w:sz w:val="24"/>
        </w:rPr>
        <w:t>被依法取消基金管理资格；</w:t>
      </w:r>
    </w:p>
    <w:p w14:paraId="01F530D3" w14:textId="61F55B5B"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w:t>
      </w:r>
      <w:r w:rsidRPr="00157697">
        <w:rPr>
          <w:rFonts w:asciiTheme="minorEastAsia" w:eastAsiaTheme="minorEastAsia" w:hAnsiTheme="minorEastAsia" w:cs="Arial"/>
          <w:bCs/>
          <w:sz w:val="24"/>
        </w:rPr>
        <w:t>被基金份额持有人大会解任；</w:t>
      </w:r>
    </w:p>
    <w:p w14:paraId="365EBF35" w14:textId="4194C3F0"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（3）</w:t>
      </w:r>
      <w:r w:rsidRPr="00157697">
        <w:rPr>
          <w:rFonts w:asciiTheme="minorEastAsia" w:eastAsiaTheme="minorEastAsia" w:hAnsiTheme="minorEastAsia" w:cs="Arial"/>
          <w:bCs/>
          <w:sz w:val="24"/>
        </w:rPr>
        <w:t>依法解散、被依法撤销或被依法宣告破产；</w:t>
      </w:r>
    </w:p>
    <w:p w14:paraId="6BDA2E33" w14:textId="5913FEF2"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（4）</w:t>
      </w:r>
      <w:r w:rsidRPr="00157697">
        <w:rPr>
          <w:rFonts w:asciiTheme="minorEastAsia" w:eastAsiaTheme="minorEastAsia" w:hAnsiTheme="minorEastAsia" w:cs="Arial" w:hint="eastAsia"/>
          <w:bCs/>
          <w:sz w:val="24"/>
        </w:rPr>
        <w:t>法律法规及中国证监会规定的和基金合同约定的其他</w:t>
      </w:r>
      <w:r w:rsidRPr="00157697">
        <w:rPr>
          <w:rFonts w:asciiTheme="minorEastAsia" w:eastAsiaTheme="minorEastAsia" w:hAnsiTheme="minorEastAsia" w:cs="Arial"/>
          <w:bCs/>
          <w:sz w:val="24"/>
        </w:rPr>
        <w:t>情形。</w:t>
      </w:r>
    </w:p>
    <w:p w14:paraId="34288FDB"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2.基金管理人的更换程序</w:t>
      </w:r>
    </w:p>
    <w:p w14:paraId="1323979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更换基金管理人必须依照如下程序进行：</w:t>
      </w:r>
    </w:p>
    <w:p w14:paraId="34C07ED6" w14:textId="58413CDE"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lastRenderedPageBreak/>
        <w:t>（1）</w:t>
      </w:r>
      <w:r w:rsidRPr="00157697">
        <w:rPr>
          <w:rFonts w:asciiTheme="minorEastAsia" w:eastAsiaTheme="minorEastAsia" w:hAnsiTheme="minorEastAsia" w:cs="Arial"/>
          <w:bCs/>
          <w:sz w:val="24"/>
        </w:rPr>
        <w:t>提名：新任基金管理人由基金托管人或由</w:t>
      </w:r>
      <w:r w:rsidRPr="00157697">
        <w:rPr>
          <w:rFonts w:asciiTheme="minorEastAsia" w:eastAsiaTheme="minorEastAsia" w:hAnsiTheme="minorEastAsia" w:cs="Arial" w:hint="eastAsia"/>
          <w:bCs/>
          <w:sz w:val="24"/>
        </w:rPr>
        <w:t>单独或合计持有</w:t>
      </w:r>
      <w:r w:rsidRPr="00157697">
        <w:rPr>
          <w:rFonts w:asciiTheme="minorEastAsia" w:eastAsiaTheme="minorEastAsia" w:hAnsiTheme="minorEastAsia" w:cs="Arial"/>
          <w:bCs/>
          <w:sz w:val="24"/>
        </w:rPr>
        <w:t>10%</w:t>
      </w:r>
      <w:r w:rsidRPr="00157697">
        <w:rPr>
          <w:rFonts w:asciiTheme="minorEastAsia" w:eastAsiaTheme="minorEastAsia" w:hAnsiTheme="minorEastAsia" w:cs="Arial" w:hint="eastAsia"/>
          <w:bCs/>
          <w:sz w:val="24"/>
        </w:rPr>
        <w:t>以上（含</w:t>
      </w:r>
      <w:r w:rsidRPr="00157697">
        <w:rPr>
          <w:rFonts w:asciiTheme="minorEastAsia" w:eastAsiaTheme="minorEastAsia" w:hAnsiTheme="minorEastAsia" w:cs="Arial"/>
          <w:bCs/>
          <w:sz w:val="24"/>
        </w:rPr>
        <w:t>10%</w:t>
      </w:r>
      <w:r w:rsidRPr="00157697">
        <w:rPr>
          <w:rFonts w:asciiTheme="minorEastAsia" w:eastAsiaTheme="minorEastAsia" w:hAnsiTheme="minorEastAsia" w:cs="Arial" w:hint="eastAsia"/>
          <w:bCs/>
          <w:sz w:val="24"/>
        </w:rPr>
        <w:t>）基金份额的基金份额持有人</w:t>
      </w:r>
      <w:r w:rsidRPr="00157697">
        <w:rPr>
          <w:rFonts w:asciiTheme="minorEastAsia" w:eastAsiaTheme="minorEastAsia" w:hAnsiTheme="minorEastAsia" w:cs="Arial"/>
          <w:bCs/>
          <w:sz w:val="24"/>
        </w:rPr>
        <w:t>提名；</w:t>
      </w:r>
    </w:p>
    <w:p w14:paraId="57CEAC8F" w14:textId="0BB9B205"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w:t>
      </w:r>
      <w:r w:rsidRPr="00157697">
        <w:rPr>
          <w:rFonts w:asciiTheme="minorEastAsia" w:eastAsiaTheme="minorEastAsia" w:hAnsiTheme="minorEastAsia" w:cs="Arial"/>
          <w:bCs/>
          <w:sz w:val="24"/>
        </w:rPr>
        <w:t>决议：基金份额持有人大会在基金管理人职责终止后</w:t>
      </w:r>
      <w:r w:rsidRPr="00157697">
        <w:rPr>
          <w:rFonts w:asciiTheme="minorEastAsia" w:eastAsiaTheme="minorEastAsia" w:hAnsiTheme="minorEastAsia" w:cs="Arial" w:hint="eastAsia"/>
          <w:bCs/>
          <w:sz w:val="24"/>
        </w:rPr>
        <w:t>6</w:t>
      </w:r>
      <w:r w:rsidRPr="00157697">
        <w:rPr>
          <w:rFonts w:asciiTheme="minorEastAsia" w:eastAsiaTheme="minorEastAsia" w:hAnsiTheme="minorEastAsia" w:cs="Arial"/>
          <w:bCs/>
          <w:sz w:val="24"/>
        </w:rPr>
        <w:t>个月内对被提名的基金管理人形成决议，该决议需经参加大会的基金份额持有人所持表决权的</w:t>
      </w:r>
      <w:r w:rsidRPr="00157697">
        <w:rPr>
          <w:rFonts w:asciiTheme="minorEastAsia" w:eastAsiaTheme="minorEastAsia" w:hAnsiTheme="minorEastAsia" w:cs="Arial" w:hint="eastAsia"/>
          <w:bCs/>
          <w:sz w:val="24"/>
        </w:rPr>
        <w:t>三分之二</w:t>
      </w:r>
      <w:r w:rsidRPr="00157697">
        <w:rPr>
          <w:rFonts w:asciiTheme="minorEastAsia" w:eastAsiaTheme="minorEastAsia" w:hAnsiTheme="minorEastAsia" w:cs="Arial"/>
          <w:bCs/>
          <w:sz w:val="24"/>
        </w:rPr>
        <w:t>以上（含</w:t>
      </w:r>
      <w:r w:rsidRPr="00157697">
        <w:rPr>
          <w:rFonts w:asciiTheme="minorEastAsia" w:eastAsiaTheme="minorEastAsia" w:hAnsiTheme="minorEastAsia" w:cs="Arial" w:hint="eastAsia"/>
          <w:bCs/>
          <w:sz w:val="24"/>
        </w:rPr>
        <w:t>三分之二</w:t>
      </w:r>
      <w:r w:rsidRPr="00157697">
        <w:rPr>
          <w:rFonts w:asciiTheme="minorEastAsia" w:eastAsiaTheme="minorEastAsia" w:hAnsiTheme="minorEastAsia" w:cs="Arial"/>
          <w:bCs/>
          <w:sz w:val="24"/>
        </w:rPr>
        <w:t>）表决通过，决议自表决通过之日起生效；</w:t>
      </w:r>
    </w:p>
    <w:p w14:paraId="2EBEDB78" w14:textId="4DF3BA49"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（3）</w:t>
      </w:r>
      <w:r w:rsidRPr="00157697">
        <w:rPr>
          <w:rFonts w:asciiTheme="minorEastAsia" w:eastAsiaTheme="minorEastAsia" w:hAnsiTheme="minorEastAsia" w:cs="Arial"/>
          <w:bCs/>
          <w:sz w:val="24"/>
        </w:rPr>
        <w:t>临时基金管理人：新任基金管理人产生之前，由中国证监会指定临时基金管理人；</w:t>
      </w:r>
    </w:p>
    <w:p w14:paraId="6AF6452F" w14:textId="34B1A7C4"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（4）</w:t>
      </w:r>
      <w:r w:rsidRPr="00157697">
        <w:rPr>
          <w:rFonts w:asciiTheme="minorEastAsia" w:eastAsiaTheme="minorEastAsia" w:hAnsiTheme="minorEastAsia" w:cs="Arial" w:hint="eastAsia"/>
          <w:bCs/>
          <w:sz w:val="24"/>
        </w:rPr>
        <w:t>备案</w:t>
      </w:r>
      <w:r w:rsidRPr="00157697">
        <w:rPr>
          <w:rFonts w:asciiTheme="minorEastAsia" w:eastAsiaTheme="minorEastAsia" w:hAnsiTheme="minorEastAsia" w:cs="Arial"/>
          <w:bCs/>
          <w:sz w:val="24"/>
        </w:rPr>
        <w:t>：基金份额持有人大会</w:t>
      </w:r>
      <w:r w:rsidRPr="00157697">
        <w:rPr>
          <w:rFonts w:asciiTheme="minorEastAsia" w:eastAsiaTheme="minorEastAsia" w:hAnsiTheme="minorEastAsia" w:cs="Arial" w:hint="eastAsia"/>
          <w:bCs/>
          <w:sz w:val="24"/>
        </w:rPr>
        <w:t>更换</w:t>
      </w:r>
      <w:r w:rsidRPr="00157697">
        <w:rPr>
          <w:rFonts w:asciiTheme="minorEastAsia" w:eastAsiaTheme="minorEastAsia" w:hAnsiTheme="minorEastAsia" w:cs="Arial"/>
          <w:bCs/>
          <w:sz w:val="24"/>
        </w:rPr>
        <w:t>基金管理人的决议须</w:t>
      </w:r>
      <w:r w:rsidRPr="00157697">
        <w:rPr>
          <w:rFonts w:asciiTheme="minorEastAsia" w:eastAsiaTheme="minorEastAsia" w:hAnsiTheme="minorEastAsia" w:cs="Arial" w:hint="eastAsia"/>
          <w:bCs/>
          <w:sz w:val="24"/>
        </w:rPr>
        <w:t>报</w:t>
      </w:r>
      <w:r w:rsidRPr="00157697">
        <w:rPr>
          <w:rFonts w:asciiTheme="minorEastAsia" w:eastAsiaTheme="minorEastAsia" w:hAnsiTheme="minorEastAsia" w:cs="Arial"/>
          <w:bCs/>
          <w:sz w:val="24"/>
        </w:rPr>
        <w:t>中国证监会</w:t>
      </w:r>
      <w:r w:rsidRPr="00157697">
        <w:rPr>
          <w:rFonts w:asciiTheme="minorEastAsia" w:eastAsiaTheme="minorEastAsia" w:hAnsiTheme="minorEastAsia" w:cs="Arial" w:hint="eastAsia"/>
          <w:bCs/>
          <w:sz w:val="24"/>
        </w:rPr>
        <w:t>备案</w:t>
      </w:r>
      <w:r w:rsidRPr="00157697">
        <w:rPr>
          <w:rFonts w:asciiTheme="minorEastAsia" w:eastAsiaTheme="minorEastAsia" w:hAnsiTheme="minorEastAsia" w:cs="Arial"/>
          <w:bCs/>
          <w:sz w:val="24"/>
        </w:rPr>
        <w:t>；</w:t>
      </w:r>
    </w:p>
    <w:p w14:paraId="04C91DEE" w14:textId="029F50DA"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（5）</w:t>
      </w:r>
      <w:r w:rsidRPr="00157697">
        <w:rPr>
          <w:rFonts w:asciiTheme="minorEastAsia" w:eastAsiaTheme="minorEastAsia" w:hAnsiTheme="minorEastAsia" w:cs="Arial"/>
          <w:bCs/>
          <w:sz w:val="24"/>
        </w:rPr>
        <w:t>公告：基金管理人更换后，由基金托管人在更换基金管理人的基金份额持有人大会决议生效后</w:t>
      </w:r>
      <w:r w:rsidRPr="00157697">
        <w:rPr>
          <w:rFonts w:asciiTheme="minorEastAsia" w:eastAsiaTheme="minorEastAsia" w:hAnsiTheme="minorEastAsia" w:cs="Arial" w:hint="eastAsia"/>
          <w:bCs/>
          <w:sz w:val="24"/>
        </w:rPr>
        <w:t>依照《信息披露办法》的有关规定</w:t>
      </w:r>
      <w:r w:rsidRPr="00157697">
        <w:rPr>
          <w:rFonts w:asciiTheme="minorEastAsia" w:eastAsiaTheme="minorEastAsia" w:hAnsiTheme="minorEastAsia" w:cs="Arial"/>
          <w:bCs/>
          <w:sz w:val="24"/>
        </w:rPr>
        <w:t>在</w:t>
      </w:r>
      <w:r w:rsidRPr="00157697">
        <w:rPr>
          <w:rFonts w:asciiTheme="minorEastAsia" w:eastAsiaTheme="minorEastAsia" w:hAnsiTheme="minorEastAsia" w:cs="Arial" w:hint="eastAsia"/>
          <w:bCs/>
          <w:sz w:val="24"/>
        </w:rPr>
        <w:t>规定媒介</w:t>
      </w:r>
      <w:r w:rsidRPr="00157697">
        <w:rPr>
          <w:rFonts w:asciiTheme="minorEastAsia" w:eastAsiaTheme="minorEastAsia" w:hAnsiTheme="minorEastAsia" w:cs="Arial"/>
          <w:bCs/>
          <w:sz w:val="24"/>
        </w:rPr>
        <w:t>公告</w:t>
      </w:r>
      <w:r w:rsidRPr="00157697">
        <w:rPr>
          <w:rFonts w:asciiTheme="minorEastAsia" w:eastAsiaTheme="minorEastAsia" w:hAnsiTheme="minorEastAsia" w:cs="Arial" w:hint="eastAsia"/>
          <w:bCs/>
          <w:sz w:val="24"/>
        </w:rPr>
        <w:t>；</w:t>
      </w:r>
    </w:p>
    <w:p w14:paraId="328DDEB2" w14:textId="4E6749CA"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（6）</w:t>
      </w:r>
      <w:r w:rsidRPr="00157697">
        <w:rPr>
          <w:rFonts w:asciiTheme="minorEastAsia" w:eastAsiaTheme="minorEastAsia" w:hAnsiTheme="minorEastAsia" w:cs="Arial"/>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Pr="00157697">
        <w:rPr>
          <w:rFonts w:asciiTheme="minorEastAsia" w:eastAsiaTheme="minorEastAsia" w:hAnsiTheme="minorEastAsia" w:cs="Arial" w:hint="eastAsia"/>
          <w:bCs/>
          <w:sz w:val="24"/>
        </w:rPr>
        <w:t>或临时基金管理人</w:t>
      </w:r>
      <w:r w:rsidRPr="00157697">
        <w:rPr>
          <w:rFonts w:asciiTheme="minorEastAsia" w:eastAsiaTheme="minorEastAsia" w:hAnsiTheme="minorEastAsia" w:cs="Arial"/>
          <w:bCs/>
          <w:sz w:val="24"/>
        </w:rPr>
        <w:t>应与基金托管人核对基金资产总值</w:t>
      </w:r>
      <w:r w:rsidRPr="00157697">
        <w:rPr>
          <w:rFonts w:asciiTheme="minorEastAsia" w:eastAsiaTheme="minorEastAsia" w:hAnsiTheme="minorEastAsia" w:cs="Arial" w:hint="eastAsia"/>
          <w:bCs/>
          <w:sz w:val="24"/>
        </w:rPr>
        <w:t>和净值</w:t>
      </w:r>
      <w:r w:rsidRPr="00157697">
        <w:rPr>
          <w:rFonts w:asciiTheme="minorEastAsia" w:eastAsiaTheme="minorEastAsia" w:hAnsiTheme="minorEastAsia" w:cs="Arial"/>
          <w:bCs/>
          <w:sz w:val="24"/>
        </w:rPr>
        <w:t>；</w:t>
      </w:r>
    </w:p>
    <w:p w14:paraId="07A52517" w14:textId="07B4805E"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（7）</w:t>
      </w:r>
      <w:r w:rsidRPr="00157697">
        <w:rPr>
          <w:rFonts w:asciiTheme="minorEastAsia" w:eastAsiaTheme="minorEastAsia" w:hAnsiTheme="minorEastAsia" w:cs="Arial"/>
          <w:bCs/>
          <w:sz w:val="24"/>
        </w:rPr>
        <w:t>审计：基金管理人职责终止的，应当聘请</w:t>
      </w:r>
      <w:r w:rsidRPr="00157697">
        <w:rPr>
          <w:rFonts w:asciiTheme="minorEastAsia" w:eastAsiaTheme="minorEastAsia" w:hAnsiTheme="minorEastAsia" w:cs="Arial" w:hint="eastAsia"/>
          <w:bCs/>
          <w:sz w:val="24"/>
        </w:rPr>
        <w:t>符合《中华人民共和国证券法》规定的</w:t>
      </w:r>
      <w:r w:rsidRPr="00157697">
        <w:rPr>
          <w:rFonts w:asciiTheme="minorEastAsia" w:eastAsiaTheme="minorEastAsia" w:hAnsiTheme="minorEastAsia" w:cs="Arial"/>
          <w:bCs/>
          <w:sz w:val="24"/>
        </w:rPr>
        <w:t>会计师事务所对基金财产进行审计，并将审计结果予以公告，同时报中国证监会备案</w:t>
      </w:r>
      <w:r w:rsidRPr="00157697">
        <w:rPr>
          <w:rFonts w:asciiTheme="minorEastAsia" w:eastAsiaTheme="minorEastAsia" w:hAnsiTheme="minorEastAsia" w:cs="Arial" w:hint="eastAsia"/>
          <w:bCs/>
          <w:sz w:val="24"/>
        </w:rPr>
        <w:t>，审计费用从基金财产中列支</w:t>
      </w:r>
      <w:r w:rsidRPr="00157697">
        <w:rPr>
          <w:rFonts w:asciiTheme="minorEastAsia" w:eastAsiaTheme="minorEastAsia" w:hAnsiTheme="minorEastAsia" w:cs="Arial"/>
          <w:bCs/>
          <w:sz w:val="24"/>
        </w:rPr>
        <w:t>；</w:t>
      </w:r>
    </w:p>
    <w:p w14:paraId="658C8F56" w14:textId="736D7745"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（8）</w:t>
      </w:r>
      <w:r w:rsidRPr="00157697">
        <w:rPr>
          <w:rFonts w:asciiTheme="minorEastAsia" w:eastAsiaTheme="minorEastAsia" w:hAnsiTheme="minorEastAsia" w:cs="Arial"/>
          <w:bCs/>
          <w:sz w:val="24"/>
        </w:rPr>
        <w:t>基金名称变更：基金管理人更换后，如果原任或新任基金管理人要求，应按其要求替换或删除基金名称中与原基金管理人有关的名称字样。</w:t>
      </w:r>
    </w:p>
    <w:p w14:paraId="3E4F8D3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（二）基金托管人职责终止的情形</w:t>
      </w:r>
    </w:p>
    <w:p w14:paraId="0CE9711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1.基金托管人职责终止的情形</w:t>
      </w:r>
    </w:p>
    <w:p w14:paraId="72A5423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有下列情形之一的，基金托管人职责终止：</w:t>
      </w:r>
    </w:p>
    <w:p w14:paraId="48EA52A2" w14:textId="08ADB5DD" w:rsidR="009D164B" w:rsidRPr="0040323D" w:rsidRDefault="00157697">
      <w:pPr>
        <w:adjustRightInd w:val="0"/>
        <w:snapToGrid w:val="0"/>
        <w:spacing w:before="240" w:after="240" w:line="276"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（1）</w:t>
      </w:r>
      <w:r w:rsidR="00AF3B6B" w:rsidRPr="0040323D">
        <w:rPr>
          <w:rFonts w:asciiTheme="minorEastAsia" w:eastAsiaTheme="minorEastAsia" w:hAnsiTheme="minorEastAsia" w:cs="Arial"/>
          <w:sz w:val="24"/>
        </w:rPr>
        <w:t>被依法取消基金托管资格；</w:t>
      </w:r>
    </w:p>
    <w:p w14:paraId="6070E718" w14:textId="33449B6D" w:rsidR="009D164B" w:rsidRPr="0040323D" w:rsidRDefault="00157697">
      <w:pPr>
        <w:adjustRightInd w:val="0"/>
        <w:snapToGrid w:val="0"/>
        <w:spacing w:before="240" w:after="240" w:line="276"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（2）</w:t>
      </w:r>
      <w:r w:rsidR="00AF3B6B" w:rsidRPr="0040323D">
        <w:rPr>
          <w:rFonts w:asciiTheme="minorEastAsia" w:eastAsiaTheme="minorEastAsia" w:hAnsiTheme="minorEastAsia" w:cs="Arial"/>
          <w:sz w:val="24"/>
        </w:rPr>
        <w:t>被基金份额持有人大会解任；</w:t>
      </w:r>
    </w:p>
    <w:p w14:paraId="665E602E" w14:textId="61796D99" w:rsidR="009D164B" w:rsidRPr="0040323D" w:rsidRDefault="00157697">
      <w:pPr>
        <w:adjustRightInd w:val="0"/>
        <w:snapToGrid w:val="0"/>
        <w:spacing w:before="240" w:after="240" w:line="276"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（3）</w:t>
      </w:r>
      <w:r w:rsidR="00AF3B6B" w:rsidRPr="0040323D">
        <w:rPr>
          <w:rFonts w:asciiTheme="minorEastAsia" w:eastAsiaTheme="minorEastAsia" w:hAnsiTheme="minorEastAsia" w:cs="Arial"/>
          <w:sz w:val="24"/>
        </w:rPr>
        <w:t>依法解散、被依法撤销或被依法宣告破产；</w:t>
      </w:r>
    </w:p>
    <w:p w14:paraId="4D9CA418" w14:textId="2D9F3141" w:rsidR="009D164B" w:rsidRPr="0040323D" w:rsidRDefault="00157697">
      <w:pPr>
        <w:adjustRightInd w:val="0"/>
        <w:snapToGrid w:val="0"/>
        <w:spacing w:before="240" w:after="240" w:line="276" w:lineRule="auto"/>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（4）</w:t>
      </w:r>
      <w:r w:rsidR="00AF3B6B" w:rsidRPr="0040323D">
        <w:rPr>
          <w:rFonts w:asciiTheme="minorEastAsia" w:eastAsiaTheme="minorEastAsia" w:hAnsiTheme="minorEastAsia" w:cs="Arial"/>
          <w:sz w:val="24"/>
        </w:rPr>
        <w:t>法律法规及中国证监会规定的和基金合同约定的其他情形。</w:t>
      </w:r>
    </w:p>
    <w:p w14:paraId="0D500F54"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2.基金托管人的更换程序</w:t>
      </w:r>
    </w:p>
    <w:p w14:paraId="348AA660" w14:textId="0B582592"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（1）</w:t>
      </w:r>
      <w:r w:rsidRPr="00157697">
        <w:rPr>
          <w:rFonts w:asciiTheme="minorEastAsia" w:eastAsiaTheme="minorEastAsia" w:hAnsiTheme="minorEastAsia" w:cs="Arial"/>
          <w:bCs/>
          <w:sz w:val="24"/>
        </w:rPr>
        <w:t>提名：新任基金托管人由基金管理人或由</w:t>
      </w:r>
      <w:r w:rsidRPr="00157697">
        <w:rPr>
          <w:rFonts w:asciiTheme="minorEastAsia" w:eastAsiaTheme="minorEastAsia" w:hAnsiTheme="minorEastAsia" w:cs="Arial" w:hint="eastAsia"/>
          <w:bCs/>
          <w:sz w:val="24"/>
        </w:rPr>
        <w:t>单独或合计持有</w:t>
      </w:r>
      <w:r w:rsidRPr="00157697">
        <w:rPr>
          <w:rFonts w:asciiTheme="minorEastAsia" w:eastAsiaTheme="minorEastAsia" w:hAnsiTheme="minorEastAsia" w:cs="Arial"/>
          <w:bCs/>
          <w:sz w:val="24"/>
        </w:rPr>
        <w:t>10%</w:t>
      </w:r>
      <w:r w:rsidRPr="00157697">
        <w:rPr>
          <w:rFonts w:asciiTheme="minorEastAsia" w:eastAsiaTheme="minorEastAsia" w:hAnsiTheme="minorEastAsia" w:cs="Arial" w:hint="eastAsia"/>
          <w:bCs/>
          <w:sz w:val="24"/>
        </w:rPr>
        <w:t>以上（含</w:t>
      </w:r>
      <w:r w:rsidRPr="00157697">
        <w:rPr>
          <w:rFonts w:asciiTheme="minorEastAsia" w:eastAsiaTheme="minorEastAsia" w:hAnsiTheme="minorEastAsia" w:cs="Arial"/>
          <w:bCs/>
          <w:sz w:val="24"/>
        </w:rPr>
        <w:lastRenderedPageBreak/>
        <w:t>10%</w:t>
      </w:r>
      <w:r w:rsidRPr="00157697">
        <w:rPr>
          <w:rFonts w:asciiTheme="minorEastAsia" w:eastAsiaTheme="minorEastAsia" w:hAnsiTheme="minorEastAsia" w:cs="Arial" w:hint="eastAsia"/>
          <w:bCs/>
          <w:sz w:val="24"/>
        </w:rPr>
        <w:t>）基金份额的基金份额持有人</w:t>
      </w:r>
      <w:r w:rsidRPr="00157697">
        <w:rPr>
          <w:rFonts w:asciiTheme="minorEastAsia" w:eastAsiaTheme="minorEastAsia" w:hAnsiTheme="minorEastAsia" w:cs="Arial"/>
          <w:bCs/>
          <w:sz w:val="24"/>
        </w:rPr>
        <w:t>提名；</w:t>
      </w:r>
    </w:p>
    <w:p w14:paraId="461D7D60" w14:textId="6D00FFCA"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w:t>
      </w:r>
      <w:r w:rsidRPr="00157697">
        <w:rPr>
          <w:rFonts w:asciiTheme="minorEastAsia" w:eastAsiaTheme="minorEastAsia" w:hAnsiTheme="minorEastAsia" w:cs="Arial"/>
          <w:bCs/>
          <w:sz w:val="24"/>
        </w:rPr>
        <w:t>决议：基金份额持有人大会在基金托管人职责终止后</w:t>
      </w:r>
      <w:r w:rsidRPr="00157697">
        <w:rPr>
          <w:rFonts w:asciiTheme="minorEastAsia" w:eastAsiaTheme="minorEastAsia" w:hAnsiTheme="minorEastAsia" w:cs="Arial" w:hint="eastAsia"/>
          <w:bCs/>
          <w:sz w:val="24"/>
        </w:rPr>
        <w:t>6</w:t>
      </w:r>
      <w:r w:rsidRPr="00157697">
        <w:rPr>
          <w:rFonts w:asciiTheme="minorEastAsia" w:eastAsiaTheme="minorEastAsia" w:hAnsiTheme="minorEastAsia" w:cs="Arial"/>
          <w:bCs/>
          <w:sz w:val="24"/>
        </w:rPr>
        <w:t>个月内对被提名的基金托管人形成决议，该决议需经参加大会的基金份额持有人所持表决权的</w:t>
      </w:r>
      <w:r w:rsidRPr="00157697">
        <w:rPr>
          <w:rFonts w:asciiTheme="minorEastAsia" w:eastAsiaTheme="minorEastAsia" w:hAnsiTheme="minorEastAsia" w:cs="Arial" w:hint="eastAsia"/>
          <w:bCs/>
          <w:sz w:val="24"/>
        </w:rPr>
        <w:t>三分之二</w:t>
      </w:r>
      <w:r w:rsidRPr="00157697">
        <w:rPr>
          <w:rFonts w:asciiTheme="minorEastAsia" w:eastAsiaTheme="minorEastAsia" w:hAnsiTheme="minorEastAsia" w:cs="Arial"/>
          <w:bCs/>
          <w:sz w:val="24"/>
        </w:rPr>
        <w:t>以上（含</w:t>
      </w:r>
      <w:r w:rsidRPr="00157697">
        <w:rPr>
          <w:rFonts w:asciiTheme="minorEastAsia" w:eastAsiaTheme="minorEastAsia" w:hAnsiTheme="minorEastAsia" w:cs="Arial" w:hint="eastAsia"/>
          <w:bCs/>
          <w:sz w:val="24"/>
        </w:rPr>
        <w:t>三分之二</w:t>
      </w:r>
      <w:r w:rsidRPr="00157697">
        <w:rPr>
          <w:rFonts w:asciiTheme="minorEastAsia" w:eastAsiaTheme="minorEastAsia" w:hAnsiTheme="minorEastAsia" w:cs="Arial"/>
          <w:bCs/>
          <w:sz w:val="24"/>
        </w:rPr>
        <w:t>）表决通过</w:t>
      </w:r>
      <w:r w:rsidRPr="00157697">
        <w:rPr>
          <w:rFonts w:asciiTheme="minorEastAsia" w:eastAsiaTheme="minorEastAsia" w:hAnsiTheme="minorEastAsia" w:cs="Arial" w:hint="eastAsia"/>
          <w:bCs/>
          <w:sz w:val="24"/>
        </w:rPr>
        <w:t>，决议自表决通过之日起生效</w:t>
      </w:r>
      <w:r w:rsidRPr="00157697">
        <w:rPr>
          <w:rFonts w:asciiTheme="minorEastAsia" w:eastAsiaTheme="minorEastAsia" w:hAnsiTheme="minorEastAsia" w:cs="Arial"/>
          <w:bCs/>
          <w:sz w:val="24"/>
        </w:rPr>
        <w:t>；</w:t>
      </w:r>
    </w:p>
    <w:p w14:paraId="745FB72B" w14:textId="12D49935"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（3）</w:t>
      </w:r>
      <w:r w:rsidRPr="00157697">
        <w:rPr>
          <w:rFonts w:asciiTheme="minorEastAsia" w:eastAsiaTheme="minorEastAsia" w:hAnsiTheme="minorEastAsia" w:cs="Arial"/>
          <w:bCs/>
          <w:sz w:val="24"/>
        </w:rPr>
        <w:t>临时基金托管人：新任基金托管人产生之前，由中国证监会指定临时基金托管人；</w:t>
      </w:r>
    </w:p>
    <w:p w14:paraId="1702F106" w14:textId="60AE27D2"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（4）</w:t>
      </w:r>
      <w:r w:rsidRPr="00157697">
        <w:rPr>
          <w:rFonts w:asciiTheme="minorEastAsia" w:eastAsiaTheme="minorEastAsia" w:hAnsiTheme="minorEastAsia" w:cs="Arial" w:hint="eastAsia"/>
          <w:bCs/>
          <w:sz w:val="24"/>
        </w:rPr>
        <w:t>备案</w:t>
      </w:r>
      <w:r w:rsidRPr="00157697">
        <w:rPr>
          <w:rFonts w:asciiTheme="minorEastAsia" w:eastAsiaTheme="minorEastAsia" w:hAnsiTheme="minorEastAsia" w:cs="Arial"/>
          <w:bCs/>
          <w:sz w:val="24"/>
        </w:rPr>
        <w:t>：基金份额持有人大会更换基金托管人的决议须</w:t>
      </w:r>
      <w:r w:rsidRPr="00157697">
        <w:rPr>
          <w:rFonts w:asciiTheme="minorEastAsia" w:eastAsiaTheme="minorEastAsia" w:hAnsiTheme="minorEastAsia" w:cs="Arial" w:hint="eastAsia"/>
          <w:bCs/>
          <w:sz w:val="24"/>
        </w:rPr>
        <w:t>报</w:t>
      </w:r>
      <w:r w:rsidRPr="00157697">
        <w:rPr>
          <w:rFonts w:asciiTheme="minorEastAsia" w:eastAsiaTheme="minorEastAsia" w:hAnsiTheme="minorEastAsia" w:cs="Arial"/>
          <w:bCs/>
          <w:sz w:val="24"/>
        </w:rPr>
        <w:t>中国证监会</w:t>
      </w:r>
      <w:r w:rsidRPr="00157697">
        <w:rPr>
          <w:rFonts w:asciiTheme="minorEastAsia" w:eastAsiaTheme="minorEastAsia" w:hAnsiTheme="minorEastAsia" w:cs="Arial" w:hint="eastAsia"/>
          <w:bCs/>
          <w:sz w:val="24"/>
        </w:rPr>
        <w:t>备案</w:t>
      </w:r>
      <w:r w:rsidRPr="00157697">
        <w:rPr>
          <w:rFonts w:asciiTheme="minorEastAsia" w:eastAsiaTheme="minorEastAsia" w:hAnsiTheme="minorEastAsia" w:cs="Arial"/>
          <w:bCs/>
          <w:sz w:val="24"/>
        </w:rPr>
        <w:t>；</w:t>
      </w:r>
    </w:p>
    <w:p w14:paraId="66E52528" w14:textId="4A020BF3"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（5）</w:t>
      </w:r>
      <w:r w:rsidRPr="00157697">
        <w:rPr>
          <w:rFonts w:asciiTheme="minorEastAsia" w:eastAsiaTheme="minorEastAsia" w:hAnsiTheme="minorEastAsia" w:cs="Arial"/>
          <w:bCs/>
          <w:sz w:val="24"/>
        </w:rPr>
        <w:t>公告：基金托管人更换后，由基金管理人在更换基金托管人的基金份额持有人大会决议生效后依照《信息披露办法》的有关规定在</w:t>
      </w:r>
      <w:r w:rsidRPr="00157697">
        <w:rPr>
          <w:rFonts w:asciiTheme="minorEastAsia" w:eastAsiaTheme="minorEastAsia" w:hAnsiTheme="minorEastAsia" w:cs="Arial" w:hint="eastAsia"/>
          <w:bCs/>
          <w:sz w:val="24"/>
        </w:rPr>
        <w:t>规定媒介</w:t>
      </w:r>
      <w:r w:rsidRPr="00157697">
        <w:rPr>
          <w:rFonts w:asciiTheme="minorEastAsia" w:eastAsiaTheme="minorEastAsia" w:hAnsiTheme="minorEastAsia" w:cs="Arial"/>
          <w:bCs/>
          <w:sz w:val="24"/>
        </w:rPr>
        <w:t>公告</w:t>
      </w:r>
      <w:r w:rsidRPr="00157697">
        <w:rPr>
          <w:rFonts w:asciiTheme="minorEastAsia" w:eastAsiaTheme="minorEastAsia" w:hAnsiTheme="minorEastAsia" w:cs="Arial" w:hint="eastAsia"/>
          <w:bCs/>
          <w:sz w:val="24"/>
        </w:rPr>
        <w:t>；</w:t>
      </w:r>
    </w:p>
    <w:p w14:paraId="7FCF4F49" w14:textId="0755512A"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（6）</w:t>
      </w:r>
      <w:r w:rsidRPr="00157697">
        <w:rPr>
          <w:rFonts w:asciiTheme="minorEastAsia" w:eastAsiaTheme="minorEastAsia" w:hAnsiTheme="minorEastAsia" w:cs="Arial"/>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157697">
        <w:rPr>
          <w:rFonts w:asciiTheme="minorEastAsia" w:eastAsiaTheme="minorEastAsia" w:hAnsiTheme="minorEastAsia" w:cs="Arial" w:hint="eastAsia"/>
          <w:bCs/>
          <w:sz w:val="24"/>
        </w:rPr>
        <w:t>或临时基金托管人应</w:t>
      </w:r>
      <w:r w:rsidRPr="00157697">
        <w:rPr>
          <w:rFonts w:asciiTheme="minorEastAsia" w:eastAsiaTheme="minorEastAsia" w:hAnsiTheme="minorEastAsia" w:cs="Arial"/>
          <w:bCs/>
          <w:sz w:val="24"/>
        </w:rPr>
        <w:t>与基金管理人核对基金资产总值</w:t>
      </w:r>
      <w:r w:rsidRPr="00157697">
        <w:rPr>
          <w:rFonts w:asciiTheme="minorEastAsia" w:eastAsiaTheme="minorEastAsia" w:hAnsiTheme="minorEastAsia" w:cs="Arial" w:hint="eastAsia"/>
          <w:bCs/>
          <w:sz w:val="24"/>
        </w:rPr>
        <w:t>和净值</w:t>
      </w:r>
      <w:r w:rsidRPr="00157697">
        <w:rPr>
          <w:rFonts w:asciiTheme="minorEastAsia" w:eastAsiaTheme="minorEastAsia" w:hAnsiTheme="minorEastAsia" w:cs="Arial"/>
          <w:bCs/>
          <w:sz w:val="24"/>
        </w:rPr>
        <w:t>；</w:t>
      </w:r>
    </w:p>
    <w:p w14:paraId="4F21A8F7" w14:textId="0E5CA892" w:rsidR="00157697" w:rsidRPr="00157697" w:rsidRDefault="00157697" w:rsidP="00157697">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（7）</w:t>
      </w:r>
      <w:r w:rsidRPr="00157697">
        <w:rPr>
          <w:rFonts w:asciiTheme="minorEastAsia" w:eastAsiaTheme="minorEastAsia" w:hAnsiTheme="minorEastAsia" w:cs="Arial"/>
          <w:bCs/>
          <w:sz w:val="24"/>
        </w:rPr>
        <w:t>审计：基金托管人职责终止的，应当聘请</w:t>
      </w:r>
      <w:r w:rsidRPr="00157697">
        <w:rPr>
          <w:rFonts w:asciiTheme="minorEastAsia" w:eastAsiaTheme="minorEastAsia" w:hAnsiTheme="minorEastAsia" w:cs="Arial" w:hint="eastAsia"/>
          <w:bCs/>
          <w:sz w:val="24"/>
        </w:rPr>
        <w:t>符合《中华人民共和国证券法》规定的</w:t>
      </w:r>
      <w:r w:rsidRPr="00157697">
        <w:rPr>
          <w:rFonts w:asciiTheme="minorEastAsia" w:eastAsiaTheme="minorEastAsia" w:hAnsiTheme="minorEastAsia" w:cs="Arial"/>
          <w:bCs/>
          <w:sz w:val="24"/>
        </w:rPr>
        <w:t>会计师事务所对基金财产进行审计，并将审计结果予以公告，同时报中国证监会备案</w:t>
      </w:r>
      <w:r w:rsidRPr="00157697">
        <w:rPr>
          <w:rFonts w:asciiTheme="minorEastAsia" w:eastAsiaTheme="minorEastAsia" w:hAnsiTheme="minorEastAsia" w:cs="Arial" w:hint="eastAsia"/>
          <w:bCs/>
          <w:sz w:val="24"/>
        </w:rPr>
        <w:t>，审计费用从基金财产中列支</w:t>
      </w:r>
      <w:r w:rsidRPr="00157697">
        <w:rPr>
          <w:rFonts w:asciiTheme="minorEastAsia" w:eastAsiaTheme="minorEastAsia" w:hAnsiTheme="minorEastAsia" w:cs="Arial"/>
          <w:bCs/>
          <w:sz w:val="24"/>
        </w:rPr>
        <w:t>。</w:t>
      </w:r>
    </w:p>
    <w:p w14:paraId="14B46A1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（三）基金管理人与基金托管人同时更换的条件和程序</w:t>
      </w:r>
    </w:p>
    <w:p w14:paraId="0172581A" w14:textId="14F98BEC"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（1）</w:t>
      </w:r>
      <w:r w:rsidRPr="00223372">
        <w:rPr>
          <w:rFonts w:asciiTheme="minorEastAsia" w:eastAsiaTheme="minorEastAsia" w:hAnsiTheme="minorEastAsia" w:cs="Arial"/>
          <w:bCs/>
          <w:sz w:val="24"/>
        </w:rPr>
        <w:t>提名：如果基金管理人和基金托管人同时更换，由单独或合计持有</w:t>
      </w:r>
      <w:r w:rsidRPr="00223372">
        <w:rPr>
          <w:rFonts w:asciiTheme="minorEastAsia" w:eastAsiaTheme="minorEastAsia" w:hAnsiTheme="minorEastAsia" w:cs="Arial" w:hint="eastAsia"/>
          <w:bCs/>
          <w:sz w:val="24"/>
        </w:rPr>
        <w:t>10%</w:t>
      </w:r>
      <w:r w:rsidRPr="00223372">
        <w:rPr>
          <w:rFonts w:asciiTheme="minorEastAsia" w:eastAsiaTheme="minorEastAsia" w:hAnsiTheme="minorEastAsia" w:cs="Arial"/>
          <w:bCs/>
          <w:sz w:val="24"/>
        </w:rPr>
        <w:t>以上（含</w:t>
      </w:r>
      <w:r w:rsidRPr="00223372">
        <w:rPr>
          <w:rFonts w:asciiTheme="minorEastAsia" w:eastAsiaTheme="minorEastAsia" w:hAnsiTheme="minorEastAsia" w:cs="Arial" w:hint="eastAsia"/>
          <w:bCs/>
          <w:sz w:val="24"/>
        </w:rPr>
        <w:t>10%</w:t>
      </w:r>
      <w:r w:rsidRPr="00223372">
        <w:rPr>
          <w:rFonts w:asciiTheme="minorEastAsia" w:eastAsiaTheme="minorEastAsia" w:hAnsiTheme="minorEastAsia" w:cs="Arial"/>
          <w:bCs/>
          <w:sz w:val="24"/>
        </w:rPr>
        <w:t>）基金份额的基金份额持有人提名新的基金管理人和基金托管人；</w:t>
      </w:r>
    </w:p>
    <w:p w14:paraId="1AAA962B" w14:textId="4E02EF8E"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w:t>
      </w:r>
      <w:r w:rsidRPr="00223372">
        <w:rPr>
          <w:rFonts w:asciiTheme="minorEastAsia" w:eastAsiaTheme="minorEastAsia" w:hAnsiTheme="minorEastAsia" w:cs="Arial"/>
          <w:bCs/>
          <w:sz w:val="24"/>
        </w:rPr>
        <w:t>基金管理人和基金托管人的更换分别按上述程序进行；</w:t>
      </w:r>
    </w:p>
    <w:p w14:paraId="1D4FB65B" w14:textId="29F33CB9"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（3）</w:t>
      </w:r>
      <w:r w:rsidRPr="00223372">
        <w:rPr>
          <w:rFonts w:asciiTheme="minorEastAsia" w:eastAsiaTheme="minorEastAsia" w:hAnsiTheme="minorEastAsia" w:cs="Arial"/>
          <w:bCs/>
          <w:sz w:val="24"/>
        </w:rPr>
        <w:t>公告：新任基金管理人和新任基金托管人应在更换基金管理人和基金托管人的基金份额持有人大会决议</w:t>
      </w:r>
      <w:r w:rsidRPr="00223372">
        <w:rPr>
          <w:rFonts w:asciiTheme="minorEastAsia" w:eastAsiaTheme="minorEastAsia" w:hAnsiTheme="minorEastAsia" w:cs="Arial" w:hint="eastAsia"/>
          <w:bCs/>
          <w:sz w:val="24"/>
        </w:rPr>
        <w:t>生效</w:t>
      </w:r>
      <w:r w:rsidRPr="00223372">
        <w:rPr>
          <w:rFonts w:asciiTheme="minorEastAsia" w:eastAsiaTheme="minorEastAsia" w:hAnsiTheme="minorEastAsia" w:cs="Arial"/>
          <w:bCs/>
          <w:sz w:val="24"/>
        </w:rPr>
        <w:t>后依照《信息披露办法》的有关规定在规定媒介上联合公告。</w:t>
      </w:r>
    </w:p>
    <w:p w14:paraId="3E1D5E35" w14:textId="5B32BD9E"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w:t>
      </w:r>
      <w:r w:rsidR="00223372" w:rsidRPr="00223372">
        <w:rPr>
          <w:rFonts w:asciiTheme="minorEastAsia" w:eastAsiaTheme="minorEastAsia" w:hAnsiTheme="minorEastAsia" w:cs="Arial" w:hint="eastAsia"/>
          <w:bCs/>
          <w:sz w:val="24"/>
        </w:rPr>
        <w:t>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w:t>
      </w:r>
      <w:proofErr w:type="gramStart"/>
      <w:r w:rsidR="00223372" w:rsidRPr="00223372">
        <w:rPr>
          <w:rFonts w:asciiTheme="minorEastAsia" w:eastAsiaTheme="minorEastAsia" w:hAnsiTheme="minorEastAsia" w:cs="Arial" w:hint="eastAsia"/>
          <w:bCs/>
          <w:sz w:val="24"/>
        </w:rPr>
        <w:t>原基金</w:t>
      </w:r>
      <w:proofErr w:type="gramEnd"/>
      <w:r w:rsidR="00223372" w:rsidRPr="00223372">
        <w:rPr>
          <w:rFonts w:asciiTheme="minorEastAsia" w:eastAsiaTheme="minorEastAsia" w:hAnsiTheme="minorEastAsia" w:cs="Arial" w:hint="eastAsia"/>
          <w:bCs/>
          <w:sz w:val="24"/>
        </w:rPr>
        <w:t>管理人或</w:t>
      </w:r>
      <w:proofErr w:type="gramStart"/>
      <w:r w:rsidR="00223372" w:rsidRPr="00223372">
        <w:rPr>
          <w:rFonts w:asciiTheme="minorEastAsia" w:eastAsiaTheme="minorEastAsia" w:hAnsiTheme="minorEastAsia" w:cs="Arial" w:hint="eastAsia"/>
          <w:bCs/>
          <w:sz w:val="24"/>
        </w:rPr>
        <w:t>原基金</w:t>
      </w:r>
      <w:proofErr w:type="gramEnd"/>
      <w:r w:rsidR="00223372" w:rsidRPr="00223372">
        <w:rPr>
          <w:rFonts w:asciiTheme="minorEastAsia" w:eastAsiaTheme="minorEastAsia" w:hAnsiTheme="minorEastAsia" w:cs="Arial" w:hint="eastAsia"/>
          <w:bCs/>
          <w:sz w:val="24"/>
        </w:rPr>
        <w:t>托管人在继续履行相关职责期间，仍有权按照基金合同的规定收取基金管理费或基金托管费。</w:t>
      </w:r>
    </w:p>
    <w:p w14:paraId="07B3DB4B" w14:textId="03FBDCB8"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（五）基金管理人、基金托管人更换条件和程序除应符合本部分的约定外，还应符合《基金合同》第八部分“基金份额持有人大会”的约定。</w:t>
      </w:r>
      <w:r w:rsidR="00223372" w:rsidRPr="00223372">
        <w:rPr>
          <w:rFonts w:asciiTheme="minorEastAsia" w:eastAsiaTheme="minorEastAsia" w:hAnsiTheme="minorEastAsia" w:cs="Arial" w:hint="eastAsia"/>
          <w:bCs/>
          <w:sz w:val="24"/>
        </w:rPr>
        <w:t>在基金管理人、基金托管人更换事宜中，凡是直接引用法律法规或监管规则的部分，如将来法律法规</w:t>
      </w:r>
      <w:r w:rsidR="00223372" w:rsidRPr="00223372">
        <w:rPr>
          <w:rFonts w:asciiTheme="minorEastAsia" w:eastAsiaTheme="minorEastAsia" w:hAnsiTheme="minorEastAsia" w:cs="Arial" w:hint="eastAsia"/>
          <w:bCs/>
          <w:sz w:val="24"/>
        </w:rPr>
        <w:lastRenderedPageBreak/>
        <w:t>或监管规则修改导致相关内容被取消或变更的，基金管理人与基金托管人协商一致报监管机关并提前公告后，可直接对相应内容进行修改和调整，无需召开基金份额持有人大会审议。</w:t>
      </w:r>
    </w:p>
    <w:p w14:paraId="19F07D07" w14:textId="77777777" w:rsidR="009D164B" w:rsidRPr="0040323D" w:rsidRDefault="009D164B">
      <w:pPr>
        <w:adjustRightInd w:val="0"/>
        <w:snapToGrid w:val="0"/>
        <w:spacing w:before="240" w:after="240" w:line="276" w:lineRule="auto"/>
        <w:rPr>
          <w:rFonts w:asciiTheme="minorEastAsia" w:eastAsiaTheme="minorEastAsia" w:hAnsiTheme="minorEastAsia" w:cs="Arial"/>
          <w:sz w:val="24"/>
        </w:rPr>
      </w:pPr>
    </w:p>
    <w:p w14:paraId="39F93289"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11" w:name="_Toc124325899"/>
      <w:r w:rsidRPr="0040323D">
        <w:rPr>
          <w:rFonts w:asciiTheme="minorEastAsia" w:eastAsiaTheme="minorEastAsia" w:hAnsiTheme="minorEastAsia" w:hint="eastAsia"/>
          <w:sz w:val="30"/>
        </w:rPr>
        <w:t>十五、禁止行为</w:t>
      </w:r>
      <w:bookmarkEnd w:id="111"/>
    </w:p>
    <w:p w14:paraId="2814861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本协议当事人禁止从事的行为，包括但不限于：</w:t>
      </w:r>
    </w:p>
    <w:p w14:paraId="3667FAE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（一）基金管理人、基金托管人将其固有财产或者他人财产混同于基金财产从事证券投资。</w:t>
      </w:r>
    </w:p>
    <w:p w14:paraId="4E11BA7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（二）基金管理人不公平地对待其管理的不同基金财产，基金托管人不公平地对待其托管的不同基金财产。</w:t>
      </w:r>
    </w:p>
    <w:p w14:paraId="192AA6A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（三）基金管理人、基金托管人利用基金财产或职务之便为基金份额持有人以外的第三人牟取利益。</w:t>
      </w:r>
    </w:p>
    <w:p w14:paraId="1447CBC1"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（四）基金管理人、基金托管人向基金份额持有人违规承诺收益或者承担损失。</w:t>
      </w:r>
    </w:p>
    <w:p w14:paraId="21606D5A" w14:textId="4365B6B8"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（五）基金管理人、基金托管人对他人泄露基金运作和管理过程中任何尚未按法律法规规定的方式公开披露的信息。</w:t>
      </w:r>
    </w:p>
    <w:p w14:paraId="0B4FDF0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（六）基金管理人在没有充足资金的情况下向基金托管人发出投资指令和赎回、分红资金的划拨指令，或违规向基金托管人发出指令。</w:t>
      </w:r>
    </w:p>
    <w:p w14:paraId="122CC8E5" w14:textId="301F8F2E"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（七）基金管理人、基金托管人在行政上、财务上不独立，其高级管理人员和其他从业人员相互兼职。</w:t>
      </w:r>
    </w:p>
    <w:p w14:paraId="5B23C47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14:paraId="063604AC" w14:textId="4D92BDDE"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（九）基金财产用于下列投资或者活动：</w:t>
      </w:r>
      <w:bookmarkStart w:id="112" w:name="_Hlk109913640"/>
      <w:r w:rsidRPr="0040323D">
        <w:rPr>
          <w:rFonts w:asciiTheme="minorEastAsia" w:eastAsiaTheme="minorEastAsia" w:hAnsiTheme="minorEastAsia" w:cs="Arial"/>
          <w:sz w:val="24"/>
        </w:rPr>
        <w:t>1.</w:t>
      </w:r>
      <w:r w:rsidRPr="0040323D">
        <w:rPr>
          <w:rFonts w:asciiTheme="minorEastAsia" w:eastAsiaTheme="minorEastAsia" w:hAnsiTheme="minorEastAsia" w:cs="Arial" w:hint="eastAsia"/>
          <w:sz w:val="24"/>
        </w:rPr>
        <w:t>承销证券；</w:t>
      </w:r>
      <w:r w:rsidRPr="0040323D">
        <w:rPr>
          <w:rFonts w:asciiTheme="minorEastAsia" w:eastAsiaTheme="minorEastAsia" w:hAnsiTheme="minorEastAsia" w:cs="Arial"/>
          <w:sz w:val="24"/>
        </w:rPr>
        <w:t>2.</w:t>
      </w:r>
      <w:r w:rsidRPr="0040323D">
        <w:rPr>
          <w:rFonts w:asciiTheme="minorEastAsia" w:eastAsiaTheme="minorEastAsia" w:hAnsiTheme="minorEastAsia" w:cs="Arial" w:hint="eastAsia"/>
          <w:sz w:val="24"/>
        </w:rPr>
        <w:t>违反规定向他人贷款或者提供担保；</w:t>
      </w:r>
      <w:r w:rsidRPr="0040323D">
        <w:rPr>
          <w:rFonts w:asciiTheme="minorEastAsia" w:eastAsiaTheme="minorEastAsia" w:hAnsiTheme="minorEastAsia" w:cs="Arial"/>
          <w:sz w:val="24"/>
        </w:rPr>
        <w:t>3.</w:t>
      </w:r>
      <w:r w:rsidRPr="0040323D">
        <w:rPr>
          <w:rFonts w:asciiTheme="minorEastAsia" w:eastAsiaTheme="minorEastAsia" w:hAnsiTheme="minorEastAsia" w:cs="Arial" w:hint="eastAsia"/>
          <w:sz w:val="24"/>
        </w:rPr>
        <w:t>从事承担无限责任的投资；</w:t>
      </w:r>
      <w:r w:rsidRPr="0040323D">
        <w:rPr>
          <w:rFonts w:asciiTheme="minorEastAsia" w:eastAsiaTheme="minorEastAsia" w:hAnsiTheme="minorEastAsia" w:cs="Arial"/>
          <w:sz w:val="24"/>
        </w:rPr>
        <w:t>4.</w:t>
      </w:r>
      <w:r w:rsidR="00453EA8" w:rsidRPr="00453EA8">
        <w:rPr>
          <w:rFonts w:hint="eastAsia"/>
        </w:rPr>
        <w:t xml:space="preserve"> </w:t>
      </w:r>
      <w:r w:rsidR="00453EA8" w:rsidRPr="00453EA8">
        <w:rPr>
          <w:rFonts w:asciiTheme="minorEastAsia" w:eastAsiaTheme="minorEastAsia" w:hAnsiTheme="minorEastAsia" w:cs="Arial" w:hint="eastAsia"/>
          <w:sz w:val="24"/>
        </w:rPr>
        <w:t>投资基金中基金、可投资其他基金的</w:t>
      </w:r>
      <w:proofErr w:type="gramStart"/>
      <w:r w:rsidR="00453EA8" w:rsidRPr="00453EA8">
        <w:rPr>
          <w:rFonts w:asciiTheme="minorEastAsia" w:eastAsiaTheme="minorEastAsia" w:hAnsiTheme="minorEastAsia" w:cs="Arial" w:hint="eastAsia"/>
          <w:sz w:val="24"/>
        </w:rPr>
        <w:t>非基金</w:t>
      </w:r>
      <w:proofErr w:type="gramEnd"/>
      <w:r w:rsidR="00453EA8" w:rsidRPr="00453EA8">
        <w:rPr>
          <w:rFonts w:asciiTheme="minorEastAsia" w:eastAsiaTheme="minorEastAsia" w:hAnsiTheme="minorEastAsia" w:cs="Arial" w:hint="eastAsia"/>
          <w:sz w:val="24"/>
        </w:rPr>
        <w:t>中基金和本</w:t>
      </w:r>
      <w:proofErr w:type="gramStart"/>
      <w:r w:rsidR="00453EA8" w:rsidRPr="00453EA8">
        <w:rPr>
          <w:rFonts w:asciiTheme="minorEastAsia" w:eastAsiaTheme="minorEastAsia" w:hAnsiTheme="minorEastAsia" w:cs="Arial" w:hint="eastAsia"/>
          <w:sz w:val="24"/>
        </w:rPr>
        <w:t>基金基金</w:t>
      </w:r>
      <w:proofErr w:type="gramEnd"/>
      <w:r w:rsidR="00453EA8" w:rsidRPr="00453EA8">
        <w:rPr>
          <w:rFonts w:asciiTheme="minorEastAsia" w:eastAsiaTheme="minorEastAsia" w:hAnsiTheme="minorEastAsia" w:cs="Arial" w:hint="eastAsia"/>
          <w:sz w:val="24"/>
        </w:rPr>
        <w:t>经理管理的其他基金</w:t>
      </w:r>
      <w:r w:rsidRPr="0040323D">
        <w:rPr>
          <w:rFonts w:asciiTheme="minorEastAsia" w:eastAsiaTheme="minorEastAsia" w:hAnsiTheme="minorEastAsia" w:cs="Arial" w:hint="eastAsia"/>
          <w:sz w:val="24"/>
        </w:rPr>
        <w:t>，但是中国证监会另有规定的除外；</w:t>
      </w:r>
      <w:r w:rsidRPr="0040323D">
        <w:rPr>
          <w:rFonts w:asciiTheme="minorEastAsia" w:eastAsiaTheme="minorEastAsia" w:hAnsiTheme="minorEastAsia" w:cs="Arial"/>
          <w:sz w:val="24"/>
        </w:rPr>
        <w:t>5.</w:t>
      </w:r>
      <w:r w:rsidR="00453EA8" w:rsidRPr="00453EA8">
        <w:rPr>
          <w:rFonts w:hint="eastAsia"/>
        </w:rPr>
        <w:t xml:space="preserve"> </w:t>
      </w:r>
      <w:r w:rsidR="00453EA8" w:rsidRPr="00453EA8">
        <w:rPr>
          <w:rFonts w:asciiTheme="minorEastAsia" w:eastAsiaTheme="minorEastAsia" w:hAnsiTheme="minorEastAsia" w:cs="Arial" w:hint="eastAsia"/>
          <w:sz w:val="24"/>
        </w:rPr>
        <w:t>持有具有复杂、衍生品性质的基金份额，包括分级基金和中国证监会认定的其他基金份额；</w:t>
      </w:r>
      <w:r w:rsidR="00453EA8">
        <w:rPr>
          <w:rFonts w:asciiTheme="minorEastAsia" w:eastAsiaTheme="minorEastAsia" w:hAnsiTheme="minorEastAsia" w:cs="Arial" w:hint="eastAsia"/>
          <w:sz w:val="24"/>
        </w:rPr>
        <w:t>6</w:t>
      </w:r>
      <w:r w:rsidR="00453EA8">
        <w:rPr>
          <w:rFonts w:asciiTheme="minorEastAsia" w:eastAsiaTheme="minorEastAsia" w:hAnsiTheme="minorEastAsia" w:cs="Arial"/>
          <w:sz w:val="24"/>
        </w:rPr>
        <w:t>.</w:t>
      </w:r>
      <w:r w:rsidRPr="0040323D">
        <w:rPr>
          <w:rFonts w:asciiTheme="minorEastAsia" w:eastAsiaTheme="minorEastAsia" w:hAnsiTheme="minorEastAsia" w:cs="Arial" w:hint="eastAsia"/>
          <w:sz w:val="24"/>
        </w:rPr>
        <w:t>向其基金管理人、基金托管人出资；</w:t>
      </w:r>
      <w:r w:rsidR="00453EA8">
        <w:rPr>
          <w:rFonts w:asciiTheme="minorEastAsia" w:eastAsiaTheme="minorEastAsia" w:hAnsiTheme="minorEastAsia" w:cs="Arial"/>
          <w:sz w:val="24"/>
        </w:rPr>
        <w:t>7</w:t>
      </w:r>
      <w:r w:rsidRPr="0040323D">
        <w:rPr>
          <w:rFonts w:asciiTheme="minorEastAsia" w:eastAsiaTheme="minorEastAsia" w:hAnsiTheme="minorEastAsia" w:cs="Arial"/>
          <w:sz w:val="24"/>
        </w:rPr>
        <w:t>.</w:t>
      </w:r>
      <w:r w:rsidRPr="0040323D">
        <w:rPr>
          <w:rFonts w:asciiTheme="minorEastAsia" w:eastAsiaTheme="minorEastAsia" w:hAnsiTheme="minorEastAsia" w:cs="Arial" w:hint="eastAsia"/>
          <w:sz w:val="24"/>
        </w:rPr>
        <w:t>从事内幕交易、操纵证券交易价格及其他不正当的证券交易活动；</w:t>
      </w:r>
      <w:r w:rsidR="00453EA8">
        <w:rPr>
          <w:rFonts w:asciiTheme="minorEastAsia" w:eastAsiaTheme="minorEastAsia" w:hAnsiTheme="minorEastAsia" w:cs="Arial"/>
          <w:sz w:val="24"/>
        </w:rPr>
        <w:t>8</w:t>
      </w:r>
      <w:r w:rsidRPr="0040323D">
        <w:rPr>
          <w:rFonts w:asciiTheme="minorEastAsia" w:eastAsiaTheme="minorEastAsia" w:hAnsiTheme="minorEastAsia" w:cs="Arial"/>
          <w:sz w:val="24"/>
        </w:rPr>
        <w:t>.</w:t>
      </w:r>
      <w:r w:rsidRPr="0040323D">
        <w:rPr>
          <w:rFonts w:asciiTheme="minorEastAsia" w:eastAsiaTheme="minorEastAsia" w:hAnsiTheme="minorEastAsia" w:cs="Arial" w:hint="eastAsia"/>
          <w:sz w:val="24"/>
        </w:rPr>
        <w:t>法律、行政法规和中国证监会规定禁止的其他活动。</w:t>
      </w:r>
      <w:bookmarkEnd w:id="112"/>
      <w:r w:rsidRPr="0040323D">
        <w:rPr>
          <w:rFonts w:asciiTheme="minorEastAsia" w:eastAsiaTheme="minorEastAsia" w:hAnsiTheme="minorEastAsia" w:cs="Arial" w:hint="eastAsia"/>
          <w:sz w:val="24"/>
        </w:rPr>
        <w:t>法律法规或监管部门取消或变更上述限制，如适用于本基金，则本基金在履行适当程序后不再受相关限制或按变更后的规定执行。</w:t>
      </w:r>
    </w:p>
    <w:p w14:paraId="615DE75D"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lastRenderedPageBreak/>
        <w:t>（十）法律法规和《基金合同》禁止的其他行为，以及依照法律、行政法规有关规定，由中国证监会规定禁止基金管理人、基金托管人从事的其他行为。</w:t>
      </w:r>
    </w:p>
    <w:p w14:paraId="6A81D36B" w14:textId="77777777" w:rsidR="009D164B" w:rsidRPr="0040323D" w:rsidRDefault="009D164B">
      <w:pPr>
        <w:adjustRightInd w:val="0"/>
        <w:snapToGrid w:val="0"/>
        <w:spacing w:before="240" w:after="240" w:line="276" w:lineRule="auto"/>
        <w:rPr>
          <w:rFonts w:asciiTheme="minorEastAsia" w:eastAsiaTheme="minorEastAsia" w:hAnsiTheme="minorEastAsia"/>
          <w:sz w:val="30"/>
          <w:szCs w:val="30"/>
        </w:rPr>
      </w:pPr>
    </w:p>
    <w:p w14:paraId="11989AA6"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13" w:name="_Toc124325900"/>
      <w:r w:rsidRPr="0040323D">
        <w:rPr>
          <w:rFonts w:asciiTheme="minorEastAsia" w:eastAsiaTheme="minorEastAsia" w:hAnsiTheme="minorEastAsia" w:hint="eastAsia"/>
          <w:sz w:val="30"/>
        </w:rPr>
        <w:t>十六、托管协议的变更、终止与基金财产的清算</w:t>
      </w:r>
      <w:bookmarkEnd w:id="113"/>
    </w:p>
    <w:p w14:paraId="26717F9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（一）托管协议的变更程序</w:t>
      </w:r>
    </w:p>
    <w:p w14:paraId="6B37860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sz w:val="30"/>
          <w:szCs w:val="30"/>
        </w:rPr>
      </w:pPr>
      <w:r w:rsidRPr="0040323D">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14:paraId="4C1EE9FB"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（二）托管协议终止的情形</w:t>
      </w:r>
    </w:p>
    <w:p w14:paraId="590317D3"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1.《基金合同》终止；</w:t>
      </w:r>
    </w:p>
    <w:p w14:paraId="66B5EB1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2.基金托管人解散、依法被撤销、破产或由其他基金托管人接管基金资产；</w:t>
      </w:r>
    </w:p>
    <w:p w14:paraId="6C08D1B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3.基金管理人解散、依法被撤销、破产或由其他基金管理人接管基金管理权；</w:t>
      </w:r>
    </w:p>
    <w:p w14:paraId="2961EC5D"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4.发生法律法规或《基金合同》规定的终止事项。</w:t>
      </w:r>
    </w:p>
    <w:p w14:paraId="2CB57CE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（三）基金财产的清算</w:t>
      </w:r>
    </w:p>
    <w:p w14:paraId="614F4DFF" w14:textId="2953A46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bookmarkStart w:id="114" w:name="_Hlk118922214"/>
      <w:bookmarkStart w:id="115" w:name="_Hlk109913715"/>
      <w:r w:rsidRPr="00223372">
        <w:rPr>
          <w:rFonts w:asciiTheme="minorEastAsia" w:eastAsiaTheme="minorEastAsia" w:hAnsiTheme="minorEastAsia" w:cs="Arial"/>
          <w:bCs/>
          <w:sz w:val="24"/>
        </w:rPr>
        <w:t>1</w:t>
      </w:r>
      <w:r w:rsidR="00C25BB0">
        <w:rPr>
          <w:rFonts w:asciiTheme="minorEastAsia" w:eastAsiaTheme="minorEastAsia" w:hAnsiTheme="minorEastAsia" w:cs="Arial" w:hint="eastAsia"/>
          <w:bCs/>
          <w:sz w:val="24"/>
        </w:rPr>
        <w:t>.</w:t>
      </w:r>
      <w:r w:rsidRPr="00223372">
        <w:rPr>
          <w:rFonts w:asciiTheme="minorEastAsia" w:eastAsiaTheme="minorEastAsia" w:hAnsiTheme="minorEastAsia" w:cs="Arial"/>
          <w:bCs/>
          <w:sz w:val="24"/>
        </w:rPr>
        <w:t>基金财产清算小组：自出现基金合同的终止事由之日起30个工作日内成立清算小组，基金管理人组织基金财产清算小组并在中国证监会的监督下进行基金清算。</w:t>
      </w:r>
    </w:p>
    <w:p w14:paraId="3A70104B" w14:textId="57101666"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bCs/>
          <w:sz w:val="24"/>
        </w:rPr>
        <w:t>2</w:t>
      </w:r>
      <w:r w:rsidR="00C25BB0">
        <w:rPr>
          <w:rFonts w:asciiTheme="minorEastAsia" w:eastAsiaTheme="minorEastAsia" w:hAnsiTheme="minorEastAsia" w:cs="Arial" w:hint="eastAsia"/>
          <w:bCs/>
          <w:sz w:val="24"/>
        </w:rPr>
        <w:t>.</w:t>
      </w:r>
      <w:r w:rsidRPr="00223372">
        <w:rPr>
          <w:rFonts w:asciiTheme="minorEastAsia" w:eastAsiaTheme="minorEastAsia" w:hAnsiTheme="minorEastAsia" w:cs="Arial"/>
          <w:bCs/>
          <w:sz w:val="24"/>
        </w:rPr>
        <w:t>在基金财产清算小组接管基金财产之前，基金管理人和基金托管人应按照基金合同和托管协议的规定继续履行保护基金财产安全的职责。</w:t>
      </w:r>
    </w:p>
    <w:p w14:paraId="782DF338" w14:textId="4407E2CC"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hint="eastAsia"/>
          <w:bCs/>
          <w:sz w:val="24"/>
        </w:rPr>
        <w:t>3</w:t>
      </w:r>
      <w:r w:rsidR="00C25BB0">
        <w:rPr>
          <w:rFonts w:asciiTheme="minorEastAsia" w:eastAsiaTheme="minorEastAsia" w:hAnsiTheme="minorEastAsia" w:cs="Arial" w:hint="eastAsia"/>
          <w:bCs/>
          <w:sz w:val="24"/>
        </w:rPr>
        <w:t>.</w:t>
      </w:r>
      <w:r w:rsidRPr="00223372">
        <w:rPr>
          <w:rFonts w:asciiTheme="minorEastAsia" w:eastAsiaTheme="minorEastAsia" w:hAnsiTheme="minorEastAsia" w:cs="Arial"/>
          <w:bCs/>
          <w:sz w:val="24"/>
        </w:rPr>
        <w:t>基金财产清算小组组成：基金财产清算小组成员由基金管理人、基金托管人、</w:t>
      </w:r>
      <w:r w:rsidRPr="00223372">
        <w:rPr>
          <w:rFonts w:asciiTheme="minorEastAsia" w:eastAsiaTheme="minorEastAsia" w:hAnsiTheme="minorEastAsia" w:cs="Arial" w:hint="eastAsia"/>
          <w:bCs/>
          <w:sz w:val="24"/>
        </w:rPr>
        <w:t>符合《中华人民共和国证券法》规定</w:t>
      </w:r>
      <w:r w:rsidRPr="00223372">
        <w:rPr>
          <w:rFonts w:asciiTheme="minorEastAsia" w:eastAsiaTheme="minorEastAsia" w:hAnsiTheme="minorEastAsia" w:cs="Arial"/>
          <w:bCs/>
          <w:sz w:val="24"/>
        </w:rPr>
        <w:t>的注册会计师、律师组成。基金财产清算小组可以聘用必要的工作人员。</w:t>
      </w:r>
    </w:p>
    <w:p w14:paraId="15D8B3B7" w14:textId="6B4A6AFC"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hint="eastAsia"/>
          <w:bCs/>
          <w:sz w:val="24"/>
        </w:rPr>
        <w:t>4</w:t>
      </w:r>
      <w:r w:rsidR="00C25BB0">
        <w:rPr>
          <w:rFonts w:asciiTheme="minorEastAsia" w:eastAsiaTheme="minorEastAsia" w:hAnsiTheme="minorEastAsia" w:cs="Arial" w:hint="eastAsia"/>
          <w:bCs/>
          <w:sz w:val="24"/>
        </w:rPr>
        <w:t>.</w:t>
      </w:r>
      <w:r w:rsidRPr="00223372">
        <w:rPr>
          <w:rFonts w:asciiTheme="minorEastAsia" w:eastAsiaTheme="minorEastAsia" w:hAnsiTheme="minorEastAsia" w:cs="Arial"/>
          <w:bCs/>
          <w:sz w:val="24"/>
        </w:rPr>
        <w:t>基金财产清算小组职责：基金财产清算小组负责基金财产的保管、清理、估价、变现和分配。基金财产清算小组可以依法进行必要的民事活动。</w:t>
      </w:r>
    </w:p>
    <w:p w14:paraId="35733D70" w14:textId="0F5A75A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hint="eastAsia"/>
          <w:bCs/>
          <w:sz w:val="24"/>
        </w:rPr>
        <w:t>5</w:t>
      </w:r>
      <w:r w:rsidR="00C25BB0">
        <w:rPr>
          <w:rFonts w:asciiTheme="minorEastAsia" w:eastAsiaTheme="minorEastAsia" w:hAnsiTheme="minorEastAsia" w:cs="Arial" w:hint="eastAsia"/>
          <w:bCs/>
          <w:sz w:val="24"/>
        </w:rPr>
        <w:t>.</w:t>
      </w:r>
      <w:r w:rsidRPr="00223372">
        <w:rPr>
          <w:rFonts w:asciiTheme="minorEastAsia" w:eastAsiaTheme="minorEastAsia" w:hAnsiTheme="minorEastAsia" w:cs="Arial"/>
          <w:bCs/>
          <w:sz w:val="24"/>
        </w:rPr>
        <w:t>基金财产清算程序：</w:t>
      </w:r>
    </w:p>
    <w:p w14:paraId="2108AFE1" w14:textId="7777777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bCs/>
          <w:sz w:val="24"/>
        </w:rPr>
        <w:t>（1）基金财产清算小组成立后，由基金财产清算小组统一接管基金；</w:t>
      </w:r>
    </w:p>
    <w:p w14:paraId="65501B6F" w14:textId="7777777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bCs/>
          <w:sz w:val="24"/>
        </w:rPr>
        <w:t>（2）对基金财产和债权债务进行清理和确认；</w:t>
      </w:r>
    </w:p>
    <w:p w14:paraId="4D396337" w14:textId="7777777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bCs/>
          <w:sz w:val="24"/>
        </w:rPr>
        <w:lastRenderedPageBreak/>
        <w:t>（3）对基金财产进行估值和变现；</w:t>
      </w:r>
    </w:p>
    <w:p w14:paraId="2DA0126B" w14:textId="7777777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bCs/>
          <w:sz w:val="24"/>
        </w:rPr>
        <w:t>（4）制作清算报告；</w:t>
      </w:r>
    </w:p>
    <w:p w14:paraId="70EF59C0" w14:textId="7777777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bCs/>
          <w:sz w:val="24"/>
        </w:rPr>
        <w:t>（5）聘请会计师事务所对清算报告进行外部审计，聘请律师事务所对清算报告出具法律意见书；</w:t>
      </w:r>
    </w:p>
    <w:p w14:paraId="29531483" w14:textId="7777777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bCs/>
          <w:sz w:val="24"/>
        </w:rPr>
        <w:t>（6）将清算报告报中国证监会备案并公告</w:t>
      </w:r>
      <w:r w:rsidRPr="00223372">
        <w:rPr>
          <w:rFonts w:asciiTheme="minorEastAsia" w:eastAsiaTheme="minorEastAsia" w:hAnsiTheme="minorEastAsia" w:cs="Arial" w:hint="eastAsia"/>
          <w:bCs/>
          <w:sz w:val="24"/>
        </w:rPr>
        <w:t>；</w:t>
      </w:r>
    </w:p>
    <w:p w14:paraId="73469F82" w14:textId="77777777"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bCs/>
          <w:sz w:val="24"/>
        </w:rPr>
        <w:t>（7）对基金</w:t>
      </w:r>
      <w:r w:rsidRPr="00223372">
        <w:rPr>
          <w:rFonts w:asciiTheme="minorEastAsia" w:eastAsiaTheme="minorEastAsia" w:hAnsiTheme="minorEastAsia" w:cs="Arial" w:hint="eastAsia"/>
          <w:bCs/>
          <w:sz w:val="24"/>
        </w:rPr>
        <w:t>剩余</w:t>
      </w:r>
      <w:r w:rsidRPr="00223372">
        <w:rPr>
          <w:rFonts w:asciiTheme="minorEastAsia" w:eastAsiaTheme="minorEastAsia" w:hAnsiTheme="minorEastAsia" w:cs="Arial"/>
          <w:bCs/>
          <w:sz w:val="24"/>
        </w:rPr>
        <w:t>财产进行分配</w:t>
      </w:r>
      <w:r w:rsidRPr="00223372">
        <w:rPr>
          <w:rFonts w:asciiTheme="minorEastAsia" w:eastAsiaTheme="minorEastAsia" w:hAnsiTheme="minorEastAsia" w:cs="Arial" w:hint="eastAsia"/>
          <w:bCs/>
          <w:sz w:val="24"/>
        </w:rPr>
        <w:t>。</w:t>
      </w:r>
    </w:p>
    <w:p w14:paraId="776227B9" w14:textId="0A17A045" w:rsidR="00223372" w:rsidRPr="00223372" w:rsidRDefault="00223372" w:rsidP="00223372">
      <w:pPr>
        <w:adjustRightInd w:val="0"/>
        <w:snapToGrid w:val="0"/>
        <w:spacing w:before="240" w:after="240" w:line="276" w:lineRule="auto"/>
        <w:ind w:firstLineChars="200" w:firstLine="480"/>
        <w:rPr>
          <w:rFonts w:asciiTheme="minorEastAsia" w:eastAsiaTheme="minorEastAsia" w:hAnsiTheme="minorEastAsia" w:cs="Arial"/>
          <w:bCs/>
          <w:sz w:val="24"/>
        </w:rPr>
      </w:pPr>
      <w:r w:rsidRPr="00223372">
        <w:rPr>
          <w:rFonts w:asciiTheme="minorEastAsia" w:eastAsiaTheme="minorEastAsia" w:hAnsiTheme="minorEastAsia" w:cs="Arial" w:hint="eastAsia"/>
          <w:bCs/>
          <w:sz w:val="24"/>
        </w:rPr>
        <w:t>6</w:t>
      </w:r>
      <w:r w:rsidR="00C25BB0">
        <w:rPr>
          <w:rFonts w:asciiTheme="minorEastAsia" w:eastAsiaTheme="minorEastAsia" w:hAnsiTheme="minorEastAsia" w:cs="Arial" w:hint="eastAsia"/>
          <w:bCs/>
          <w:sz w:val="24"/>
        </w:rPr>
        <w:t>.</w:t>
      </w:r>
      <w:r w:rsidRPr="00223372">
        <w:rPr>
          <w:rFonts w:asciiTheme="minorEastAsia" w:eastAsiaTheme="minorEastAsia" w:hAnsiTheme="minorEastAsia" w:cs="Arial"/>
          <w:bCs/>
          <w:sz w:val="24"/>
        </w:rPr>
        <w:t>基金财产清算的期限为</w:t>
      </w:r>
      <w:r w:rsidRPr="00223372">
        <w:rPr>
          <w:rFonts w:asciiTheme="minorEastAsia" w:eastAsiaTheme="minorEastAsia" w:hAnsiTheme="minorEastAsia" w:cs="Arial" w:hint="eastAsia"/>
          <w:bCs/>
          <w:sz w:val="24"/>
        </w:rPr>
        <w:t>6</w:t>
      </w:r>
      <w:r w:rsidRPr="00223372">
        <w:rPr>
          <w:rFonts w:asciiTheme="minorEastAsia" w:eastAsiaTheme="minorEastAsia" w:hAnsiTheme="minorEastAsia" w:cs="Arial"/>
          <w:bCs/>
          <w:sz w:val="24"/>
        </w:rPr>
        <w:t>个月，但因本基金所持证券的流动性受到限制而不能及时变现</w:t>
      </w:r>
      <w:r w:rsidRPr="00223372">
        <w:rPr>
          <w:rFonts w:asciiTheme="minorEastAsia" w:eastAsiaTheme="minorEastAsia" w:hAnsiTheme="minorEastAsia" w:cs="Arial" w:hint="eastAsia"/>
          <w:bCs/>
          <w:sz w:val="24"/>
        </w:rPr>
        <w:t>、结算保证金相关规定等客观因素</w:t>
      </w:r>
      <w:r w:rsidRPr="00223372">
        <w:rPr>
          <w:rFonts w:asciiTheme="minorEastAsia" w:eastAsiaTheme="minorEastAsia" w:hAnsiTheme="minorEastAsia" w:cs="Arial"/>
          <w:bCs/>
          <w:sz w:val="24"/>
        </w:rPr>
        <w:t>，清算期限相应顺延。</w:t>
      </w:r>
    </w:p>
    <w:p w14:paraId="22B5DB7B" w14:textId="1B09E993"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7</w:t>
      </w:r>
      <w:r w:rsidR="00C25BB0">
        <w:rPr>
          <w:rFonts w:asciiTheme="minorEastAsia" w:eastAsiaTheme="minorEastAsia" w:hAnsiTheme="minorEastAsia" w:cs="Arial" w:hint="eastAsia"/>
          <w:sz w:val="24"/>
        </w:rPr>
        <w:t>.</w:t>
      </w:r>
      <w:r w:rsidRPr="0040323D">
        <w:rPr>
          <w:rFonts w:asciiTheme="minorEastAsia" w:eastAsiaTheme="minorEastAsia" w:hAnsiTheme="minorEastAsia" w:cs="Arial"/>
          <w:sz w:val="24"/>
        </w:rPr>
        <w:t>清算费用</w:t>
      </w:r>
    </w:p>
    <w:p w14:paraId="79C5CCE9" w14:textId="77777777" w:rsidR="00C25BB0" w:rsidRPr="00C25BB0" w:rsidRDefault="00C25BB0" w:rsidP="00C25BB0">
      <w:pPr>
        <w:adjustRightInd w:val="0"/>
        <w:snapToGrid w:val="0"/>
        <w:spacing w:before="240" w:after="240" w:line="276" w:lineRule="auto"/>
        <w:ind w:firstLineChars="200" w:firstLine="480"/>
        <w:rPr>
          <w:rFonts w:asciiTheme="minorEastAsia" w:eastAsiaTheme="minorEastAsia" w:hAnsiTheme="minorEastAsia" w:cs="Arial"/>
          <w:bCs/>
          <w:sz w:val="24"/>
        </w:rPr>
      </w:pPr>
      <w:r w:rsidRPr="00C25BB0">
        <w:rPr>
          <w:rFonts w:asciiTheme="minorEastAsia" w:eastAsiaTheme="minorEastAsia" w:hAnsiTheme="minorEastAsia" w:cs="Arial"/>
          <w:bCs/>
          <w:sz w:val="24"/>
        </w:rPr>
        <w:t>清算费用是指基金财产清算小组在进行基金清算过程中发生的所有合理费用，清算费用由基金财产清算小组优先从基金财产中支付。</w:t>
      </w:r>
    </w:p>
    <w:p w14:paraId="7D679DBE"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8.基金财产清算剩余资产的分配</w:t>
      </w:r>
    </w:p>
    <w:p w14:paraId="10761B95" w14:textId="77777777" w:rsidR="00C25BB0" w:rsidRPr="00C25BB0" w:rsidRDefault="00C25BB0" w:rsidP="00C25BB0">
      <w:pPr>
        <w:adjustRightInd w:val="0"/>
        <w:snapToGrid w:val="0"/>
        <w:spacing w:before="240" w:after="240" w:line="276" w:lineRule="auto"/>
        <w:ind w:firstLineChars="200" w:firstLine="480"/>
        <w:rPr>
          <w:rFonts w:asciiTheme="minorEastAsia" w:eastAsiaTheme="minorEastAsia" w:hAnsiTheme="minorEastAsia" w:cs="Arial"/>
          <w:sz w:val="24"/>
        </w:rPr>
      </w:pPr>
      <w:r w:rsidRPr="00C25BB0">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w:t>
      </w:r>
      <w:r w:rsidRPr="00C25BB0">
        <w:rPr>
          <w:rFonts w:asciiTheme="minorEastAsia" w:eastAsiaTheme="minorEastAsia" w:hAnsiTheme="minorEastAsia" w:cs="Arial" w:hint="eastAsia"/>
          <w:bCs/>
          <w:sz w:val="24"/>
        </w:rPr>
        <w:t>类基金份额的</w:t>
      </w:r>
      <w:r w:rsidRPr="00C25BB0">
        <w:rPr>
          <w:rFonts w:asciiTheme="minorEastAsia" w:eastAsiaTheme="minorEastAsia" w:hAnsiTheme="minorEastAsia" w:cs="Arial" w:hint="eastAsia"/>
          <w:sz w:val="24"/>
        </w:rPr>
        <w:t>基金份额持有人持有的该类基金份额比例进行分配。同一类别的基金份额持有人</w:t>
      </w:r>
      <w:r w:rsidRPr="00C25BB0">
        <w:rPr>
          <w:rFonts w:asciiTheme="minorEastAsia" w:eastAsiaTheme="minorEastAsia" w:hAnsiTheme="minorEastAsia" w:cs="Arial" w:hint="eastAsia"/>
          <w:bCs/>
          <w:sz w:val="24"/>
        </w:rPr>
        <w:t>持有的每一份基金份额</w:t>
      </w:r>
      <w:r w:rsidRPr="00C25BB0">
        <w:rPr>
          <w:rFonts w:asciiTheme="minorEastAsia" w:eastAsiaTheme="minorEastAsia" w:hAnsiTheme="minorEastAsia" w:cs="Arial" w:hint="eastAsia"/>
          <w:sz w:val="24"/>
        </w:rPr>
        <w:t>对基金财产清算后本类别基金份额的剩余资产具有同等的分配权。</w:t>
      </w:r>
    </w:p>
    <w:p w14:paraId="3A42D2AD"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9.基金财产清算的公告</w:t>
      </w:r>
    </w:p>
    <w:p w14:paraId="5B522495" w14:textId="77777777" w:rsidR="00C25BB0" w:rsidRPr="00C25BB0" w:rsidRDefault="00C25BB0" w:rsidP="00C25BB0">
      <w:pPr>
        <w:adjustRightInd w:val="0"/>
        <w:snapToGrid w:val="0"/>
        <w:spacing w:before="240" w:after="240" w:line="276" w:lineRule="auto"/>
        <w:ind w:firstLineChars="200" w:firstLine="480"/>
        <w:rPr>
          <w:rFonts w:asciiTheme="minorEastAsia" w:eastAsiaTheme="minorEastAsia" w:hAnsiTheme="minorEastAsia" w:cs="Arial"/>
          <w:bCs/>
          <w:sz w:val="24"/>
        </w:rPr>
      </w:pPr>
      <w:r w:rsidRPr="00C25BB0">
        <w:rPr>
          <w:rFonts w:asciiTheme="minorEastAsia" w:eastAsiaTheme="minorEastAsia" w:hAnsiTheme="minorEastAsia" w:cs="Arial"/>
          <w:bCs/>
          <w:sz w:val="24"/>
        </w:rPr>
        <w:t>清算过程中的有关重大事项</w:t>
      </w:r>
      <w:r w:rsidRPr="00C25BB0">
        <w:rPr>
          <w:rFonts w:asciiTheme="minorEastAsia" w:eastAsiaTheme="minorEastAsia" w:hAnsiTheme="minorEastAsia" w:cs="Arial" w:hint="eastAsia"/>
          <w:bCs/>
          <w:sz w:val="24"/>
        </w:rPr>
        <w:t>应</w:t>
      </w:r>
      <w:r w:rsidRPr="00C25BB0">
        <w:rPr>
          <w:rFonts w:asciiTheme="minorEastAsia" w:eastAsiaTheme="minorEastAsia" w:hAnsiTheme="minorEastAsia" w:cs="Arial"/>
          <w:bCs/>
          <w:sz w:val="24"/>
        </w:rPr>
        <w:t>及时公告；基金财产清算报告经</w:t>
      </w:r>
      <w:r w:rsidRPr="00C25BB0">
        <w:rPr>
          <w:rFonts w:asciiTheme="minorEastAsia" w:eastAsiaTheme="minorEastAsia" w:hAnsiTheme="minorEastAsia" w:cs="Arial" w:hint="eastAsia"/>
          <w:bCs/>
          <w:sz w:val="24"/>
        </w:rPr>
        <w:t>符合《中华人民共和国证券法》规定</w:t>
      </w:r>
      <w:r w:rsidRPr="00C25BB0">
        <w:rPr>
          <w:rFonts w:asciiTheme="minorEastAsia" w:eastAsiaTheme="minorEastAsia" w:hAnsiTheme="minorEastAsia" w:cs="Arial"/>
          <w:bCs/>
          <w:sz w:val="24"/>
        </w:rPr>
        <w:t>的会计师事务所审计并由律师事务所出具法律意见书后报中国证监会备案并公告。基金财产清算报告报中国证监会备案后</w:t>
      </w:r>
      <w:r w:rsidRPr="00C25BB0">
        <w:rPr>
          <w:rFonts w:asciiTheme="minorEastAsia" w:eastAsiaTheme="minorEastAsia" w:hAnsiTheme="minorEastAsia" w:cs="Arial" w:hint="eastAsia"/>
          <w:bCs/>
          <w:sz w:val="24"/>
        </w:rPr>
        <w:t>按照《信息披露办法》的规定</w:t>
      </w:r>
      <w:r w:rsidRPr="00C25BB0">
        <w:rPr>
          <w:rFonts w:asciiTheme="minorEastAsia" w:eastAsiaTheme="minorEastAsia" w:hAnsiTheme="minorEastAsia" w:cs="Arial"/>
          <w:bCs/>
          <w:sz w:val="24"/>
        </w:rPr>
        <w:t>由基金财产清算小组进行公告。</w:t>
      </w:r>
    </w:p>
    <w:p w14:paraId="29AA0C9B"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10.基金财产清算账册及文件的保存</w:t>
      </w:r>
    </w:p>
    <w:p w14:paraId="7BB2710B" w14:textId="5AC434E6"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基金财产清算账册及有关文件由基金托管人保存，保存期限不低于法律法规规定的最低</w:t>
      </w:r>
      <w:r w:rsidR="00AE576E" w:rsidRPr="00AE576E">
        <w:rPr>
          <w:rFonts w:asciiTheme="minorEastAsia" w:eastAsiaTheme="minorEastAsia" w:hAnsiTheme="minorEastAsia" w:cs="Arial" w:hint="eastAsia"/>
          <w:sz w:val="24"/>
        </w:rPr>
        <w:t>年</w:t>
      </w:r>
      <w:r w:rsidRPr="0040323D">
        <w:rPr>
          <w:rFonts w:asciiTheme="minorEastAsia" w:eastAsiaTheme="minorEastAsia" w:hAnsiTheme="minorEastAsia" w:cs="Arial" w:hint="eastAsia"/>
          <w:sz w:val="24"/>
        </w:rPr>
        <w:t>限。</w:t>
      </w:r>
    </w:p>
    <w:bookmarkEnd w:id="114"/>
    <w:p w14:paraId="07A7B1EE" w14:textId="77777777" w:rsidR="009D164B" w:rsidRPr="0040323D" w:rsidRDefault="009D164B">
      <w:pPr>
        <w:adjustRightInd w:val="0"/>
        <w:snapToGrid w:val="0"/>
        <w:spacing w:before="240" w:after="240" w:line="276" w:lineRule="auto"/>
        <w:rPr>
          <w:rFonts w:asciiTheme="minorEastAsia" w:eastAsiaTheme="minorEastAsia" w:hAnsiTheme="minorEastAsia" w:cs="Arial"/>
          <w:sz w:val="24"/>
        </w:rPr>
      </w:pPr>
    </w:p>
    <w:p w14:paraId="47619F8C"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16" w:name="_Toc124325901"/>
      <w:bookmarkEnd w:id="115"/>
      <w:r w:rsidRPr="0040323D">
        <w:rPr>
          <w:rFonts w:asciiTheme="minorEastAsia" w:eastAsiaTheme="minorEastAsia" w:hAnsiTheme="minorEastAsia" w:hint="eastAsia"/>
          <w:sz w:val="30"/>
        </w:rPr>
        <w:lastRenderedPageBreak/>
        <w:t>十七、违约责任</w:t>
      </w:r>
      <w:bookmarkEnd w:id="116"/>
    </w:p>
    <w:p w14:paraId="07329E85"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（一）基金管理人、基金托管人不履行本协议或履行本协议不符合约定的，应当承担违约责任。</w:t>
      </w:r>
    </w:p>
    <w:p w14:paraId="3BF813EE" w14:textId="0051660B"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721737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相应的当事人应当免责：</w:t>
      </w:r>
    </w:p>
    <w:p w14:paraId="19578C8D"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1.不可抗力；</w:t>
      </w:r>
    </w:p>
    <w:p w14:paraId="4EB7BB6A" w14:textId="572B9354"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2.</w:t>
      </w:r>
      <w:r w:rsidRPr="0040323D">
        <w:rPr>
          <w:rFonts w:asciiTheme="minorEastAsia" w:eastAsiaTheme="minorEastAsia" w:hAnsiTheme="minorEastAsia" w:cs="Arial" w:hint="eastAsia"/>
          <w:sz w:val="24"/>
        </w:rPr>
        <w:t>基金管理人和</w:t>
      </w:r>
      <w:r w:rsidRPr="0040323D">
        <w:rPr>
          <w:rFonts w:asciiTheme="minorEastAsia" w:eastAsiaTheme="minorEastAsia" w:hAnsiTheme="minorEastAsia" w:cs="Arial"/>
          <w:sz w:val="24"/>
        </w:rPr>
        <w:t>/或基金托管人按照当时有效的法律法规或中国证监会的规定作为或不作为而造成的损失等；</w:t>
      </w:r>
    </w:p>
    <w:p w14:paraId="799DA234" w14:textId="36F9831D"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sz w:val="24"/>
        </w:rPr>
        <w:t>3.</w:t>
      </w:r>
      <w:r w:rsidRPr="0040323D">
        <w:rPr>
          <w:rFonts w:asciiTheme="minorEastAsia" w:eastAsiaTheme="minorEastAsia" w:hAnsiTheme="minorEastAsia" w:cs="Arial" w:hint="eastAsia"/>
          <w:sz w:val="24"/>
        </w:rPr>
        <w:t>基金管理人按照基金合同约定的投资原则行使或不行使其投资权造成的损失等。</w:t>
      </w:r>
    </w:p>
    <w:p w14:paraId="2F6496C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0F95418"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381BE39A" w14:textId="228F3164"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w:t>
      </w:r>
      <w:r w:rsidR="00BB7A3E">
        <w:rPr>
          <w:rFonts w:asciiTheme="minorEastAsia" w:eastAsiaTheme="minorEastAsia" w:hAnsiTheme="minorEastAsia" w:cs="Arial" w:hint="eastAsia"/>
          <w:sz w:val="24"/>
        </w:rPr>
        <w:t>仍</w:t>
      </w:r>
      <w:r w:rsidRPr="0040323D">
        <w:rPr>
          <w:rFonts w:asciiTheme="minorEastAsia" w:eastAsiaTheme="minorEastAsia" w:hAnsiTheme="minorEastAsia" w:cs="Arial" w:hint="eastAsia"/>
          <w:sz w:val="24"/>
        </w:rPr>
        <w:t>未能发现错误的，由此造成基金财产或投资人损失，基金管理人和基金托管人免除赔偿责任。但是基金管理人和基金托管人应积极采取必要的措施减轻或消除由此造成的影响。</w:t>
      </w:r>
    </w:p>
    <w:p w14:paraId="20F75E58" w14:textId="77777777" w:rsidR="009D164B" w:rsidRPr="0040323D" w:rsidRDefault="00AF3B6B">
      <w:pPr>
        <w:adjustRightInd w:val="0"/>
        <w:snapToGrid w:val="0"/>
        <w:spacing w:before="240" w:after="240" w:line="276" w:lineRule="auto"/>
        <w:rPr>
          <w:rFonts w:asciiTheme="minorEastAsia" w:eastAsiaTheme="minorEastAsia" w:hAnsiTheme="minorEastAsia" w:cs="Arial"/>
          <w:sz w:val="24"/>
        </w:rPr>
      </w:pPr>
      <w:r w:rsidRPr="0040323D">
        <w:rPr>
          <w:rFonts w:asciiTheme="minorEastAsia" w:eastAsiaTheme="minorEastAsia" w:hAnsiTheme="minorEastAsia" w:cs="Arial"/>
          <w:sz w:val="24"/>
        </w:rPr>
        <w:tab/>
      </w:r>
    </w:p>
    <w:p w14:paraId="4CEB0FD0"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17" w:name="_Toc124325902"/>
      <w:r w:rsidRPr="0040323D">
        <w:rPr>
          <w:rFonts w:asciiTheme="minorEastAsia" w:eastAsiaTheme="minorEastAsia" w:hAnsiTheme="minorEastAsia" w:hint="eastAsia"/>
          <w:sz w:val="30"/>
        </w:rPr>
        <w:t>十八、争议解决方式</w:t>
      </w:r>
      <w:bookmarkEnd w:id="117"/>
    </w:p>
    <w:p w14:paraId="70CA811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w:t>
      </w:r>
      <w:r w:rsidRPr="0040323D">
        <w:rPr>
          <w:rFonts w:asciiTheme="minorEastAsia" w:eastAsiaTheme="minorEastAsia" w:hAnsiTheme="minorEastAsia" w:cs="Arial" w:hint="eastAsia"/>
          <w:sz w:val="24"/>
        </w:rPr>
        <w:lastRenderedPageBreak/>
        <w:t>地点为北京市，按照中国国际经济贸易仲裁委员会届时有效的仲裁规则进行仲裁。仲裁裁决是终局的，对当事人均有约束力。仲裁费用由败诉方承担，除非仲裁裁决另有决定。</w:t>
      </w:r>
    </w:p>
    <w:p w14:paraId="23C74A1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2F721C37"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本协议受中国法律（为本协议之目的，不包括香港特别行政区、澳门特别行政区和台湾地区法律）管辖。</w:t>
      </w:r>
    </w:p>
    <w:p w14:paraId="47B124E0" w14:textId="77777777" w:rsidR="009D164B" w:rsidRPr="0040323D" w:rsidRDefault="009D164B">
      <w:pPr>
        <w:adjustRightInd w:val="0"/>
        <w:snapToGrid w:val="0"/>
        <w:spacing w:before="240" w:after="240" w:line="276" w:lineRule="auto"/>
        <w:rPr>
          <w:rFonts w:asciiTheme="minorEastAsia" w:eastAsiaTheme="minorEastAsia" w:hAnsiTheme="minorEastAsia" w:cs="Arial"/>
          <w:sz w:val="24"/>
        </w:rPr>
      </w:pPr>
    </w:p>
    <w:p w14:paraId="71E0765F"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18" w:name="_Toc124325903"/>
      <w:r w:rsidRPr="0040323D">
        <w:rPr>
          <w:rFonts w:asciiTheme="minorEastAsia" w:eastAsiaTheme="minorEastAsia" w:hAnsiTheme="minorEastAsia" w:hint="eastAsia"/>
          <w:sz w:val="30"/>
        </w:rPr>
        <w:t>十九、托管协议的效力</w:t>
      </w:r>
      <w:bookmarkEnd w:id="118"/>
    </w:p>
    <w:p w14:paraId="4B2A01EA"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双方对托管协议的效力约定如下：</w:t>
      </w:r>
    </w:p>
    <w:p w14:paraId="25983AF6"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w:t>
      </w:r>
      <w:r w:rsidRPr="0040323D">
        <w:rPr>
          <w:rFonts w:asciiTheme="minorEastAsia" w:eastAsiaTheme="minorEastAsia" w:hAnsiTheme="minorEastAsia" w:cs="Arial"/>
          <w:sz w:val="24"/>
        </w:rPr>
        <w:t>/签章，协议当事人双方根据中国证监会的意见修改托管协议草案。托管协议以中国证监会注册/备案的文本为正式文本。</w:t>
      </w:r>
    </w:p>
    <w:p w14:paraId="5C1AB7B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08080610"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（三）托管协议自生效之日起对托管协议当事人具有同等的法律约束力。</w:t>
      </w:r>
    </w:p>
    <w:p w14:paraId="36DD47F7" w14:textId="3E9C4230"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sz w:val="30"/>
          <w:szCs w:val="30"/>
        </w:rPr>
      </w:pPr>
      <w:r w:rsidRPr="0040323D">
        <w:rPr>
          <w:rFonts w:asciiTheme="minorEastAsia" w:eastAsiaTheme="minorEastAsia" w:hAnsiTheme="minorEastAsia" w:cs="Arial" w:hint="eastAsia"/>
          <w:sz w:val="24"/>
        </w:rPr>
        <w:t>（四）本协议一式</w:t>
      </w:r>
      <w:r w:rsidR="00724528" w:rsidRPr="0040323D">
        <w:rPr>
          <w:rFonts w:asciiTheme="minorEastAsia" w:eastAsiaTheme="minorEastAsia" w:hAnsiTheme="minorEastAsia" w:cs="Arial" w:hint="eastAsia"/>
          <w:sz w:val="24"/>
        </w:rPr>
        <w:t>六</w:t>
      </w:r>
      <w:r w:rsidRPr="0040323D">
        <w:rPr>
          <w:rFonts w:asciiTheme="minorEastAsia" w:eastAsiaTheme="minorEastAsia" w:hAnsiTheme="minorEastAsia" w:cs="Arial" w:hint="eastAsia"/>
          <w:sz w:val="24"/>
        </w:rPr>
        <w:t>份，协议双方各持</w:t>
      </w:r>
      <w:r w:rsidR="00724528" w:rsidRPr="0040323D">
        <w:rPr>
          <w:rFonts w:asciiTheme="minorEastAsia" w:eastAsiaTheme="minorEastAsia" w:hAnsiTheme="minorEastAsia" w:cs="Arial" w:hint="eastAsia"/>
          <w:sz w:val="24"/>
        </w:rPr>
        <w:t>二</w:t>
      </w:r>
      <w:r w:rsidRPr="0040323D">
        <w:rPr>
          <w:rFonts w:asciiTheme="minorEastAsia" w:eastAsiaTheme="minorEastAsia" w:hAnsiTheme="minorEastAsia" w:cs="Arial" w:hint="eastAsia"/>
          <w:sz w:val="24"/>
        </w:rPr>
        <w:t>份，上报监管机构</w:t>
      </w:r>
      <w:r w:rsidR="00724528" w:rsidRPr="0040323D">
        <w:rPr>
          <w:rFonts w:asciiTheme="minorEastAsia" w:eastAsiaTheme="minorEastAsia" w:hAnsiTheme="minorEastAsia" w:cs="Arial" w:hint="eastAsia"/>
          <w:sz w:val="24"/>
        </w:rPr>
        <w:t>二</w:t>
      </w:r>
      <w:r w:rsidRPr="0040323D">
        <w:rPr>
          <w:rFonts w:asciiTheme="minorEastAsia" w:eastAsiaTheme="minorEastAsia" w:hAnsiTheme="minorEastAsia" w:cs="Arial" w:hint="eastAsia"/>
          <w:sz w:val="24"/>
        </w:rPr>
        <w:t>份，每份具有同等的法律效力。</w:t>
      </w:r>
    </w:p>
    <w:p w14:paraId="49E2E0FE" w14:textId="77777777" w:rsidR="009D164B" w:rsidRPr="0040323D" w:rsidRDefault="009D164B">
      <w:pPr>
        <w:adjustRightInd w:val="0"/>
        <w:snapToGrid w:val="0"/>
        <w:spacing w:before="240" w:after="240" w:line="276" w:lineRule="auto"/>
        <w:rPr>
          <w:rFonts w:asciiTheme="minorEastAsia" w:eastAsiaTheme="minorEastAsia" w:hAnsiTheme="minorEastAsia" w:cs="Arial"/>
          <w:sz w:val="24"/>
        </w:rPr>
      </w:pPr>
    </w:p>
    <w:p w14:paraId="1FDE41DF"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19" w:name="_Toc124325904"/>
      <w:r w:rsidRPr="0040323D">
        <w:rPr>
          <w:rFonts w:asciiTheme="minorEastAsia" w:eastAsiaTheme="minorEastAsia" w:hAnsiTheme="minorEastAsia" w:hint="eastAsia"/>
          <w:sz w:val="30"/>
        </w:rPr>
        <w:t>二十、其他事项</w:t>
      </w:r>
      <w:bookmarkEnd w:id="119"/>
    </w:p>
    <w:p w14:paraId="2C91DA6F"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如发生有权司法机关依法冻结基金份额持有人的基金份额时，基金管理人应予以配合，承担司法协助义务。</w:t>
      </w:r>
    </w:p>
    <w:p w14:paraId="7275A6AB" w14:textId="77777777" w:rsidR="009D164B" w:rsidRPr="0040323D" w:rsidRDefault="00AF3B6B">
      <w:pPr>
        <w:adjustRightInd w:val="0"/>
        <w:snapToGrid w:val="0"/>
        <w:spacing w:before="240" w:after="240" w:line="276" w:lineRule="auto"/>
        <w:ind w:firstLineChars="200" w:firstLine="480"/>
        <w:rPr>
          <w:rFonts w:asciiTheme="minorEastAsia" w:eastAsiaTheme="minorEastAsia" w:hAnsiTheme="minorEastAsia" w:cs="Arial"/>
          <w:sz w:val="24"/>
        </w:rPr>
      </w:pPr>
      <w:r w:rsidRPr="0040323D">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14:paraId="2687DFDD" w14:textId="77777777" w:rsidR="009D164B" w:rsidRPr="0040323D" w:rsidRDefault="009D164B">
      <w:pPr>
        <w:adjustRightInd w:val="0"/>
        <w:snapToGrid w:val="0"/>
        <w:spacing w:before="240" w:after="240" w:line="276" w:lineRule="auto"/>
        <w:rPr>
          <w:rFonts w:asciiTheme="minorEastAsia" w:eastAsiaTheme="minorEastAsia" w:hAnsiTheme="minorEastAsia"/>
          <w:b/>
          <w:bCs/>
        </w:rPr>
      </w:pPr>
    </w:p>
    <w:p w14:paraId="45A3F0EF" w14:textId="77777777" w:rsidR="009D164B" w:rsidRPr="0040323D" w:rsidRDefault="00AF3B6B">
      <w:pPr>
        <w:pStyle w:val="2"/>
        <w:spacing w:before="240" w:after="240" w:line="276" w:lineRule="auto"/>
        <w:jc w:val="center"/>
        <w:rPr>
          <w:rFonts w:asciiTheme="minorEastAsia" w:eastAsiaTheme="minorEastAsia" w:hAnsiTheme="minorEastAsia"/>
          <w:sz w:val="30"/>
        </w:rPr>
      </w:pPr>
      <w:bookmarkStart w:id="120" w:name="_Toc124325905"/>
      <w:bookmarkStart w:id="121" w:name="_GoBack"/>
      <w:bookmarkEnd w:id="121"/>
      <w:r w:rsidRPr="0040323D">
        <w:rPr>
          <w:rFonts w:asciiTheme="minorEastAsia" w:eastAsiaTheme="minorEastAsia" w:hAnsiTheme="minorEastAsia" w:hint="eastAsia"/>
          <w:sz w:val="30"/>
        </w:rPr>
        <w:lastRenderedPageBreak/>
        <w:t>二十一、托管协议的签订</w:t>
      </w:r>
      <w:bookmarkEnd w:id="120"/>
    </w:p>
    <w:p w14:paraId="1E93F9F3" w14:textId="7250F9AE" w:rsidR="007677BC" w:rsidRDefault="00AF3B6B" w:rsidP="007D24FD">
      <w:pPr>
        <w:adjustRightInd w:val="0"/>
        <w:snapToGrid w:val="0"/>
        <w:spacing w:before="240" w:after="240" w:line="276" w:lineRule="auto"/>
        <w:ind w:firstLineChars="200" w:firstLine="480"/>
        <w:rPr>
          <w:rFonts w:asciiTheme="minorEastAsia" w:eastAsiaTheme="minorEastAsia" w:hAnsiTheme="minorEastAsia"/>
          <w:bCs/>
          <w:color w:val="000000"/>
          <w:sz w:val="24"/>
        </w:rPr>
      </w:pPr>
      <w:r w:rsidRPr="0040323D">
        <w:rPr>
          <w:rFonts w:asciiTheme="minorEastAsia" w:eastAsiaTheme="minorEastAsia" w:hAnsiTheme="minorEastAsia" w:cs="Arial" w:hint="eastAsia"/>
          <w:sz w:val="24"/>
        </w:rPr>
        <w:t>本协议双方当事人盖章以及双方法定代表人或授权代表签字或签章、签订地、签订日</w:t>
      </w:r>
      <w:r w:rsidR="007677BC">
        <w:rPr>
          <w:rFonts w:asciiTheme="minorEastAsia" w:eastAsiaTheme="minorEastAsia" w:hAnsiTheme="minorEastAsia" w:cs="Arial" w:hint="eastAsia"/>
          <w:sz w:val="24"/>
        </w:rPr>
        <w:t>。</w:t>
      </w:r>
    </w:p>
    <w:sectPr w:rsidR="007677BC">
      <w:headerReference w:type="default" r:id="rId8"/>
      <w:footerReference w:type="default" r:id="rId9"/>
      <w:pgSz w:w="11906" w:h="16838"/>
      <w:pgMar w:top="1418" w:right="1701" w:bottom="1418" w:left="1701"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DEB77" w16cex:dateUtc="2022-11-15T02:41:00Z"/>
  <w16cex:commentExtensible w16cex:durableId="271697D8" w16cex:dateUtc="2022-11-09T13:19:00Z"/>
  <w16cex:commentExtensible w16cex:durableId="271698CD" w16cex:dateUtc="2022-11-09T13:23:00Z"/>
  <w16cex:commentExtensible w16cex:durableId="271642CD" w16cex:dateUtc="2022-11-09T07:16:00Z"/>
  <w16cex:commentExtensible w16cex:durableId="2716447E" w16cex:dateUtc="2022-11-09T07:23:00Z"/>
  <w16cex:commentExtensible w16cex:durableId="27164611" w16cex:dateUtc="2022-11-09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E112E" w16cid:durableId="271DEB77"/>
  <w16cid:commentId w16cid:paraId="231F7E38" w16cid:durableId="27163D41"/>
  <w16cid:commentId w16cid:paraId="47CEC57F" w16cid:durableId="271697D8"/>
  <w16cid:commentId w16cid:paraId="3BC604B7" w16cid:durableId="27163D42"/>
  <w16cid:commentId w16cid:paraId="562F6C3B" w16cid:durableId="27163D43"/>
  <w16cid:commentId w16cid:paraId="1CFD9FA0" w16cid:durableId="27163D44"/>
  <w16cid:commentId w16cid:paraId="7B5F2F35" w16cid:durableId="271698CD"/>
  <w16cid:commentId w16cid:paraId="397133B3" w16cid:durableId="27163D45"/>
  <w16cid:commentId w16cid:paraId="2E1FC7F7" w16cid:durableId="27163D46"/>
  <w16cid:commentId w16cid:paraId="5C553547" w16cid:durableId="27163D47"/>
  <w16cid:commentId w16cid:paraId="1146DF9E" w16cid:durableId="27163D48"/>
  <w16cid:commentId w16cid:paraId="24B698EE" w16cid:durableId="27163D49"/>
  <w16cid:commentId w16cid:paraId="2409CE66" w16cid:durableId="27163D4A"/>
  <w16cid:commentId w16cid:paraId="50B06087" w16cid:durableId="27163D4B"/>
  <w16cid:commentId w16cid:paraId="1A756FC0" w16cid:durableId="27163D4C"/>
  <w16cid:commentId w16cid:paraId="6F59954E" w16cid:durableId="27163D4D"/>
  <w16cid:commentId w16cid:paraId="0E68601A" w16cid:durableId="27163D4E"/>
  <w16cid:commentId w16cid:paraId="5F715E8F" w16cid:durableId="271642CD"/>
  <w16cid:commentId w16cid:paraId="769B2E00" w16cid:durableId="27163D4F"/>
  <w16cid:commentId w16cid:paraId="39D97B7F" w16cid:durableId="27163D50"/>
  <w16cid:commentId w16cid:paraId="4DB2D160" w16cid:durableId="27163D51"/>
  <w16cid:commentId w16cid:paraId="6B6AA266" w16cid:durableId="27163D52"/>
  <w16cid:commentId w16cid:paraId="76B4DB89" w16cid:durableId="27163D54"/>
  <w16cid:commentId w16cid:paraId="04AD4CBA" w16cid:durableId="27163D55"/>
  <w16cid:commentId w16cid:paraId="1476A34E" w16cid:durableId="27163D56"/>
  <w16cid:commentId w16cid:paraId="5AB64379" w16cid:durableId="27163D57"/>
  <w16cid:commentId w16cid:paraId="26986E58" w16cid:durableId="27163D58"/>
  <w16cid:commentId w16cid:paraId="02BA399D" w16cid:durableId="27163D59"/>
  <w16cid:commentId w16cid:paraId="22D46E26" w16cid:durableId="27163D5A"/>
  <w16cid:commentId w16cid:paraId="281D12A6" w16cid:durableId="27163D5B"/>
  <w16cid:commentId w16cid:paraId="409B8072" w16cid:durableId="27163D5C"/>
  <w16cid:commentId w16cid:paraId="58FF15AA" w16cid:durableId="27163D5D"/>
  <w16cid:commentId w16cid:paraId="7113A47A" w16cid:durableId="27163D5E"/>
  <w16cid:commentId w16cid:paraId="420F7713" w16cid:durableId="2716447E"/>
  <w16cid:commentId w16cid:paraId="372C1566" w16cid:durableId="27163D5F"/>
  <w16cid:commentId w16cid:paraId="00A587C7" w16cid:durableId="27163D60"/>
  <w16cid:commentId w16cid:paraId="0622D926" w16cid:durableId="27163D61"/>
  <w16cid:commentId w16cid:paraId="06B5D894" w16cid:durableId="27163D62"/>
  <w16cid:commentId w16cid:paraId="0625A2F8" w16cid:durableId="27163D63"/>
  <w16cid:commentId w16cid:paraId="1A20B827" w16cid:durableId="27164611"/>
  <w16cid:commentId w16cid:paraId="1EAC3494" w16cid:durableId="27163D65"/>
  <w16cid:commentId w16cid:paraId="60F90BD0" w16cid:durableId="27163D66"/>
  <w16cid:commentId w16cid:paraId="193DDA09" w16cid:durableId="27163D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4A74C" w14:textId="77777777" w:rsidR="0062480B" w:rsidRDefault="0062480B">
      <w:r>
        <w:separator/>
      </w:r>
    </w:p>
  </w:endnote>
  <w:endnote w:type="continuationSeparator" w:id="0">
    <w:p w14:paraId="6436ECBA" w14:textId="77777777" w:rsidR="0062480B" w:rsidRDefault="0062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roma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1507"/>
    </w:sdtPr>
    <w:sdtEndPr/>
    <w:sdtContent>
      <w:p w14:paraId="18938C59" w14:textId="77B08CCB" w:rsidR="003265D5" w:rsidRDefault="003265D5" w:rsidP="00C71B86">
        <w:pPr>
          <w:pStyle w:val="ab"/>
          <w:jc w:val="center"/>
        </w:pPr>
        <w:r>
          <w:fldChar w:fldCharType="begin"/>
        </w:r>
        <w:r>
          <w:instrText>PAGE   \* MERGEFORMAT</w:instrText>
        </w:r>
        <w:r>
          <w:fldChar w:fldCharType="separate"/>
        </w:r>
        <w:r w:rsidR="00317774" w:rsidRPr="00317774">
          <w:rPr>
            <w:noProof/>
            <w:lang w:val="zh-CN"/>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EC857" w14:textId="77777777" w:rsidR="0062480B" w:rsidRDefault="0062480B">
      <w:r>
        <w:separator/>
      </w:r>
    </w:p>
  </w:footnote>
  <w:footnote w:type="continuationSeparator" w:id="0">
    <w:p w14:paraId="26E02194" w14:textId="77777777" w:rsidR="0062480B" w:rsidRDefault="0062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E91E" w14:textId="3B4CDA6D" w:rsidR="003265D5" w:rsidRPr="00222815" w:rsidRDefault="003265D5">
    <w:pPr>
      <w:pStyle w:val="ad"/>
      <w:rPr>
        <w:sz w:val="16"/>
      </w:rPr>
    </w:pPr>
    <w:r w:rsidRPr="00222815">
      <w:rPr>
        <w:rFonts w:hint="eastAsia"/>
        <w:bCs/>
        <w:color w:val="000000"/>
        <w:sz w:val="22"/>
      </w:rPr>
      <w:t>嘉实稳健增利</w:t>
    </w:r>
    <w:r w:rsidRPr="00222815">
      <w:rPr>
        <w:bCs/>
        <w:color w:val="000000"/>
        <w:sz w:val="22"/>
      </w:rPr>
      <w:t>6</w:t>
    </w:r>
    <w:r w:rsidRPr="00222815">
      <w:rPr>
        <w:rFonts w:hint="eastAsia"/>
        <w:bCs/>
        <w:color w:val="000000"/>
        <w:sz w:val="22"/>
      </w:rPr>
      <w:t>个月持有期混合型证券投资基金托管协议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92DF1"/>
    <w:multiLevelType w:val="hybridMultilevel"/>
    <w:tmpl w:val="B9DCD566"/>
    <w:lvl w:ilvl="0" w:tplc="469AFB8C">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629A7707"/>
    <w:multiLevelType w:val="hybridMultilevel"/>
    <w:tmpl w:val="447E183A"/>
    <w:lvl w:ilvl="0" w:tplc="B65432B4">
      <w:start w:val="1"/>
      <w:numFmt w:val="decimal"/>
      <w:lvlText w:val="（%1）"/>
      <w:lvlJc w:val="left"/>
      <w:pPr>
        <w:ind w:left="1069" w:hanging="529"/>
      </w:pPr>
      <w:rPr>
        <w:rFonts w:ascii="宋体" w:eastAsia="宋体" w:hAnsi="宋体" w:cs="宋体" w:hint="default"/>
        <w:b w:val="0"/>
        <w:bCs w:val="0"/>
        <w:i w:val="0"/>
        <w:iCs w:val="0"/>
        <w:spacing w:val="-3"/>
        <w:w w:val="100"/>
        <w:sz w:val="19"/>
        <w:szCs w:val="19"/>
        <w:lang w:val="en-US" w:eastAsia="zh-CN" w:bidi="ar-SA"/>
      </w:rPr>
    </w:lvl>
    <w:lvl w:ilvl="1" w:tplc="9442406E">
      <w:numFmt w:val="bullet"/>
      <w:lvlText w:val="•"/>
      <w:lvlJc w:val="left"/>
      <w:pPr>
        <w:ind w:left="1828" w:hanging="529"/>
      </w:pPr>
      <w:rPr>
        <w:rFonts w:hint="default"/>
        <w:lang w:val="en-US" w:eastAsia="zh-CN" w:bidi="ar-SA"/>
      </w:rPr>
    </w:lvl>
    <w:lvl w:ilvl="2" w:tplc="3264B1A2">
      <w:numFmt w:val="bullet"/>
      <w:lvlText w:val="•"/>
      <w:lvlJc w:val="left"/>
      <w:pPr>
        <w:ind w:left="2597" w:hanging="529"/>
      </w:pPr>
      <w:rPr>
        <w:rFonts w:hint="default"/>
        <w:lang w:val="en-US" w:eastAsia="zh-CN" w:bidi="ar-SA"/>
      </w:rPr>
    </w:lvl>
    <w:lvl w:ilvl="3" w:tplc="14CE7D4E">
      <w:numFmt w:val="bullet"/>
      <w:lvlText w:val="•"/>
      <w:lvlJc w:val="left"/>
      <w:pPr>
        <w:ind w:left="3365" w:hanging="529"/>
      </w:pPr>
      <w:rPr>
        <w:rFonts w:hint="default"/>
        <w:lang w:val="en-US" w:eastAsia="zh-CN" w:bidi="ar-SA"/>
      </w:rPr>
    </w:lvl>
    <w:lvl w:ilvl="4" w:tplc="9522E558">
      <w:numFmt w:val="bullet"/>
      <w:lvlText w:val="•"/>
      <w:lvlJc w:val="left"/>
      <w:pPr>
        <w:ind w:left="4134" w:hanging="529"/>
      </w:pPr>
      <w:rPr>
        <w:rFonts w:hint="default"/>
        <w:lang w:val="en-US" w:eastAsia="zh-CN" w:bidi="ar-SA"/>
      </w:rPr>
    </w:lvl>
    <w:lvl w:ilvl="5" w:tplc="E25ED19E">
      <w:numFmt w:val="bullet"/>
      <w:lvlText w:val="•"/>
      <w:lvlJc w:val="left"/>
      <w:pPr>
        <w:ind w:left="4903" w:hanging="529"/>
      </w:pPr>
      <w:rPr>
        <w:rFonts w:hint="default"/>
        <w:lang w:val="en-US" w:eastAsia="zh-CN" w:bidi="ar-SA"/>
      </w:rPr>
    </w:lvl>
    <w:lvl w:ilvl="6" w:tplc="3E2EB73A">
      <w:numFmt w:val="bullet"/>
      <w:lvlText w:val="•"/>
      <w:lvlJc w:val="left"/>
      <w:pPr>
        <w:ind w:left="5671" w:hanging="529"/>
      </w:pPr>
      <w:rPr>
        <w:rFonts w:hint="default"/>
        <w:lang w:val="en-US" w:eastAsia="zh-CN" w:bidi="ar-SA"/>
      </w:rPr>
    </w:lvl>
    <w:lvl w:ilvl="7" w:tplc="A42CA506">
      <w:numFmt w:val="bullet"/>
      <w:lvlText w:val="•"/>
      <w:lvlJc w:val="left"/>
      <w:pPr>
        <w:ind w:left="6440" w:hanging="529"/>
      </w:pPr>
      <w:rPr>
        <w:rFonts w:hint="default"/>
        <w:lang w:val="en-US" w:eastAsia="zh-CN" w:bidi="ar-SA"/>
      </w:rPr>
    </w:lvl>
    <w:lvl w:ilvl="8" w:tplc="3F0AC234">
      <w:numFmt w:val="bullet"/>
      <w:lvlText w:val="•"/>
      <w:lvlJc w:val="left"/>
      <w:pPr>
        <w:ind w:left="7209" w:hanging="529"/>
      </w:pPr>
      <w:rPr>
        <w:rFonts w:hint="default"/>
        <w:lang w:val="en-US" w:eastAsia="zh-CN" w:bidi="ar-SA"/>
      </w:rPr>
    </w:lvl>
  </w:abstractNum>
  <w:abstractNum w:abstractNumId="2" w15:restartNumberingAfterBreak="0">
    <w:nsid w:val="6FF713B1"/>
    <w:multiLevelType w:val="hybridMultilevel"/>
    <w:tmpl w:val="355A0AAA"/>
    <w:lvl w:ilvl="0" w:tplc="74B810A6">
      <w:start w:val="1"/>
      <w:numFmt w:val="decimal"/>
      <w:lvlText w:val="（%1）"/>
      <w:lvlJc w:val="left"/>
      <w:pPr>
        <w:ind w:left="1069" w:hanging="529"/>
      </w:pPr>
      <w:rPr>
        <w:rFonts w:ascii="宋体" w:eastAsia="宋体" w:hAnsi="宋体" w:cs="宋体" w:hint="default"/>
        <w:b w:val="0"/>
        <w:bCs w:val="0"/>
        <w:i w:val="0"/>
        <w:iCs w:val="0"/>
        <w:spacing w:val="-3"/>
        <w:w w:val="100"/>
        <w:sz w:val="19"/>
        <w:szCs w:val="19"/>
        <w:lang w:val="en-US" w:eastAsia="zh-CN" w:bidi="ar-SA"/>
      </w:rPr>
    </w:lvl>
    <w:lvl w:ilvl="1" w:tplc="F354A542">
      <w:numFmt w:val="bullet"/>
      <w:lvlText w:val="•"/>
      <w:lvlJc w:val="left"/>
      <w:pPr>
        <w:ind w:left="1828" w:hanging="529"/>
      </w:pPr>
      <w:rPr>
        <w:rFonts w:hint="default"/>
        <w:lang w:val="en-US" w:eastAsia="zh-CN" w:bidi="ar-SA"/>
      </w:rPr>
    </w:lvl>
    <w:lvl w:ilvl="2" w:tplc="5AE20E32">
      <w:numFmt w:val="bullet"/>
      <w:lvlText w:val="•"/>
      <w:lvlJc w:val="left"/>
      <w:pPr>
        <w:ind w:left="2597" w:hanging="529"/>
      </w:pPr>
      <w:rPr>
        <w:rFonts w:hint="default"/>
        <w:lang w:val="en-US" w:eastAsia="zh-CN" w:bidi="ar-SA"/>
      </w:rPr>
    </w:lvl>
    <w:lvl w:ilvl="3" w:tplc="133C450E">
      <w:numFmt w:val="bullet"/>
      <w:lvlText w:val="•"/>
      <w:lvlJc w:val="left"/>
      <w:pPr>
        <w:ind w:left="3365" w:hanging="529"/>
      </w:pPr>
      <w:rPr>
        <w:rFonts w:hint="default"/>
        <w:lang w:val="en-US" w:eastAsia="zh-CN" w:bidi="ar-SA"/>
      </w:rPr>
    </w:lvl>
    <w:lvl w:ilvl="4" w:tplc="8F9CF906">
      <w:numFmt w:val="bullet"/>
      <w:lvlText w:val="•"/>
      <w:lvlJc w:val="left"/>
      <w:pPr>
        <w:ind w:left="4134" w:hanging="529"/>
      </w:pPr>
      <w:rPr>
        <w:rFonts w:hint="default"/>
        <w:lang w:val="en-US" w:eastAsia="zh-CN" w:bidi="ar-SA"/>
      </w:rPr>
    </w:lvl>
    <w:lvl w:ilvl="5" w:tplc="1CCC14E6">
      <w:numFmt w:val="bullet"/>
      <w:lvlText w:val="•"/>
      <w:lvlJc w:val="left"/>
      <w:pPr>
        <w:ind w:left="4903" w:hanging="529"/>
      </w:pPr>
      <w:rPr>
        <w:rFonts w:hint="default"/>
        <w:lang w:val="en-US" w:eastAsia="zh-CN" w:bidi="ar-SA"/>
      </w:rPr>
    </w:lvl>
    <w:lvl w:ilvl="6" w:tplc="08F02A5C">
      <w:numFmt w:val="bullet"/>
      <w:lvlText w:val="•"/>
      <w:lvlJc w:val="left"/>
      <w:pPr>
        <w:ind w:left="5671" w:hanging="529"/>
      </w:pPr>
      <w:rPr>
        <w:rFonts w:hint="default"/>
        <w:lang w:val="en-US" w:eastAsia="zh-CN" w:bidi="ar-SA"/>
      </w:rPr>
    </w:lvl>
    <w:lvl w:ilvl="7" w:tplc="91E6BE06">
      <w:numFmt w:val="bullet"/>
      <w:lvlText w:val="•"/>
      <w:lvlJc w:val="left"/>
      <w:pPr>
        <w:ind w:left="6440" w:hanging="529"/>
      </w:pPr>
      <w:rPr>
        <w:rFonts w:hint="default"/>
        <w:lang w:val="en-US" w:eastAsia="zh-CN" w:bidi="ar-SA"/>
      </w:rPr>
    </w:lvl>
    <w:lvl w:ilvl="8" w:tplc="927C40E2">
      <w:numFmt w:val="bullet"/>
      <w:lvlText w:val="•"/>
      <w:lvlJc w:val="left"/>
      <w:pPr>
        <w:ind w:left="7209" w:hanging="529"/>
      </w:pPr>
      <w:rPr>
        <w:rFonts w:hint="default"/>
        <w:lang w:val="en-US" w:eastAsia="zh-CN" w:bidi="ar-SA"/>
      </w:rPr>
    </w:lvl>
  </w:abstractNum>
  <w:abstractNum w:abstractNumId="3" w15:restartNumberingAfterBreak="0">
    <w:nsid w:val="711F7657"/>
    <w:multiLevelType w:val="hybridMultilevel"/>
    <w:tmpl w:val="D5E8AF70"/>
    <w:lvl w:ilvl="0" w:tplc="DB44843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B3570F2"/>
    <w:multiLevelType w:val="multilevel"/>
    <w:tmpl w:val="7B3570F2"/>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3OTUyMDQ0ZTk0ODVjZWQ2NDQxNjA4NDhiZjAwMDUifQ=="/>
  </w:docVars>
  <w:rsids>
    <w:rsidRoot w:val="001C475A"/>
    <w:rsid w:val="00001A8B"/>
    <w:rsid w:val="00004777"/>
    <w:rsid w:val="00007EE1"/>
    <w:rsid w:val="00013F41"/>
    <w:rsid w:val="00013F6C"/>
    <w:rsid w:val="00024B3E"/>
    <w:rsid w:val="0002542E"/>
    <w:rsid w:val="00025D8E"/>
    <w:rsid w:val="00031FE8"/>
    <w:rsid w:val="00036DF6"/>
    <w:rsid w:val="000400AD"/>
    <w:rsid w:val="00047120"/>
    <w:rsid w:val="00047563"/>
    <w:rsid w:val="000508F5"/>
    <w:rsid w:val="00051FD8"/>
    <w:rsid w:val="00053770"/>
    <w:rsid w:val="00055CCD"/>
    <w:rsid w:val="00057837"/>
    <w:rsid w:val="0005792C"/>
    <w:rsid w:val="000619CC"/>
    <w:rsid w:val="000700D7"/>
    <w:rsid w:val="00070917"/>
    <w:rsid w:val="00070EB8"/>
    <w:rsid w:val="00073BE8"/>
    <w:rsid w:val="0007467C"/>
    <w:rsid w:val="00074BBF"/>
    <w:rsid w:val="00075566"/>
    <w:rsid w:val="0007675C"/>
    <w:rsid w:val="00082129"/>
    <w:rsid w:val="0008351C"/>
    <w:rsid w:val="000855A3"/>
    <w:rsid w:val="00086738"/>
    <w:rsid w:val="00090916"/>
    <w:rsid w:val="0009379E"/>
    <w:rsid w:val="000961CB"/>
    <w:rsid w:val="0009761B"/>
    <w:rsid w:val="000A2616"/>
    <w:rsid w:val="000A62F1"/>
    <w:rsid w:val="000B1E48"/>
    <w:rsid w:val="000C0B56"/>
    <w:rsid w:val="000C127E"/>
    <w:rsid w:val="000D7FBC"/>
    <w:rsid w:val="000E156A"/>
    <w:rsid w:val="000E22DB"/>
    <w:rsid w:val="000F0366"/>
    <w:rsid w:val="000F5254"/>
    <w:rsid w:val="00102EDE"/>
    <w:rsid w:val="00105AA6"/>
    <w:rsid w:val="001210F1"/>
    <w:rsid w:val="001220E2"/>
    <w:rsid w:val="0012701C"/>
    <w:rsid w:val="001273F5"/>
    <w:rsid w:val="001310CB"/>
    <w:rsid w:val="00132626"/>
    <w:rsid w:val="001356A7"/>
    <w:rsid w:val="0013744A"/>
    <w:rsid w:val="001427A7"/>
    <w:rsid w:val="00143993"/>
    <w:rsid w:val="00143B42"/>
    <w:rsid w:val="00150852"/>
    <w:rsid w:val="00150EFB"/>
    <w:rsid w:val="00151869"/>
    <w:rsid w:val="00153501"/>
    <w:rsid w:val="0015728B"/>
    <w:rsid w:val="00157697"/>
    <w:rsid w:val="001601A7"/>
    <w:rsid w:val="001612F6"/>
    <w:rsid w:val="001628E6"/>
    <w:rsid w:val="0016397C"/>
    <w:rsid w:val="0016729F"/>
    <w:rsid w:val="0017201E"/>
    <w:rsid w:val="00173795"/>
    <w:rsid w:val="00176CA2"/>
    <w:rsid w:val="0018031C"/>
    <w:rsid w:val="00180903"/>
    <w:rsid w:val="00181394"/>
    <w:rsid w:val="0018219E"/>
    <w:rsid w:val="00183EC5"/>
    <w:rsid w:val="00187415"/>
    <w:rsid w:val="00187CB5"/>
    <w:rsid w:val="001928C1"/>
    <w:rsid w:val="001929CA"/>
    <w:rsid w:val="001A184F"/>
    <w:rsid w:val="001A1B1A"/>
    <w:rsid w:val="001A3852"/>
    <w:rsid w:val="001A7799"/>
    <w:rsid w:val="001A7BB6"/>
    <w:rsid w:val="001B02A9"/>
    <w:rsid w:val="001B1411"/>
    <w:rsid w:val="001B1983"/>
    <w:rsid w:val="001B671F"/>
    <w:rsid w:val="001B734B"/>
    <w:rsid w:val="001B7ECE"/>
    <w:rsid w:val="001C05D6"/>
    <w:rsid w:val="001C475A"/>
    <w:rsid w:val="001C4BDA"/>
    <w:rsid w:val="001D2AAB"/>
    <w:rsid w:val="001D2BE7"/>
    <w:rsid w:val="001D65B2"/>
    <w:rsid w:val="001D690B"/>
    <w:rsid w:val="001D6A01"/>
    <w:rsid w:val="001D7011"/>
    <w:rsid w:val="001E7ABD"/>
    <w:rsid w:val="001F06D7"/>
    <w:rsid w:val="001F498C"/>
    <w:rsid w:val="001F5B7D"/>
    <w:rsid w:val="002071C5"/>
    <w:rsid w:val="00222815"/>
    <w:rsid w:val="00223372"/>
    <w:rsid w:val="0022490B"/>
    <w:rsid w:val="00230CC2"/>
    <w:rsid w:val="0023506B"/>
    <w:rsid w:val="002367EE"/>
    <w:rsid w:val="00236A7A"/>
    <w:rsid w:val="00243DDC"/>
    <w:rsid w:val="00244F56"/>
    <w:rsid w:val="00251799"/>
    <w:rsid w:val="002536FC"/>
    <w:rsid w:val="0026092C"/>
    <w:rsid w:val="00261C5E"/>
    <w:rsid w:val="002651C7"/>
    <w:rsid w:val="002661A6"/>
    <w:rsid w:val="0026675C"/>
    <w:rsid w:val="00267162"/>
    <w:rsid w:val="00267B84"/>
    <w:rsid w:val="00267CE9"/>
    <w:rsid w:val="00271CD6"/>
    <w:rsid w:val="002761E1"/>
    <w:rsid w:val="002764F3"/>
    <w:rsid w:val="00280073"/>
    <w:rsid w:val="0028514C"/>
    <w:rsid w:val="00290142"/>
    <w:rsid w:val="002977FD"/>
    <w:rsid w:val="00297E93"/>
    <w:rsid w:val="002A0274"/>
    <w:rsid w:val="002A0799"/>
    <w:rsid w:val="002A1769"/>
    <w:rsid w:val="002A330F"/>
    <w:rsid w:val="002A3488"/>
    <w:rsid w:val="002A3C16"/>
    <w:rsid w:val="002A3E78"/>
    <w:rsid w:val="002A705C"/>
    <w:rsid w:val="002B3E58"/>
    <w:rsid w:val="002B4A3B"/>
    <w:rsid w:val="002C5804"/>
    <w:rsid w:val="002C6658"/>
    <w:rsid w:val="002C77F7"/>
    <w:rsid w:val="002D3218"/>
    <w:rsid w:val="002D3E8C"/>
    <w:rsid w:val="002E0408"/>
    <w:rsid w:val="002E23C8"/>
    <w:rsid w:val="002E39F8"/>
    <w:rsid w:val="002E446F"/>
    <w:rsid w:val="002E4E46"/>
    <w:rsid w:val="002E782D"/>
    <w:rsid w:val="002F0034"/>
    <w:rsid w:val="002F2F4D"/>
    <w:rsid w:val="002F386E"/>
    <w:rsid w:val="002F59FB"/>
    <w:rsid w:val="00300782"/>
    <w:rsid w:val="00303C2D"/>
    <w:rsid w:val="003121A7"/>
    <w:rsid w:val="00314079"/>
    <w:rsid w:val="00316AB9"/>
    <w:rsid w:val="00317774"/>
    <w:rsid w:val="00321436"/>
    <w:rsid w:val="00324FAE"/>
    <w:rsid w:val="00325A4F"/>
    <w:rsid w:val="003265D5"/>
    <w:rsid w:val="00326BF8"/>
    <w:rsid w:val="003339FF"/>
    <w:rsid w:val="00336368"/>
    <w:rsid w:val="00337BF7"/>
    <w:rsid w:val="00340695"/>
    <w:rsid w:val="0035147E"/>
    <w:rsid w:val="00356E87"/>
    <w:rsid w:val="00360A5F"/>
    <w:rsid w:val="00361C1D"/>
    <w:rsid w:val="00364CE4"/>
    <w:rsid w:val="00365388"/>
    <w:rsid w:val="00373BC3"/>
    <w:rsid w:val="00377082"/>
    <w:rsid w:val="00382F4B"/>
    <w:rsid w:val="00385655"/>
    <w:rsid w:val="00393CCB"/>
    <w:rsid w:val="003943A9"/>
    <w:rsid w:val="00397008"/>
    <w:rsid w:val="003A1D5A"/>
    <w:rsid w:val="003B2C88"/>
    <w:rsid w:val="003B5435"/>
    <w:rsid w:val="003C0077"/>
    <w:rsid w:val="003C070F"/>
    <w:rsid w:val="003C091F"/>
    <w:rsid w:val="003C1CC3"/>
    <w:rsid w:val="003C5F45"/>
    <w:rsid w:val="003C64A3"/>
    <w:rsid w:val="003C6D62"/>
    <w:rsid w:val="003C7A9C"/>
    <w:rsid w:val="003D0E82"/>
    <w:rsid w:val="003D1E4D"/>
    <w:rsid w:val="003E4F4E"/>
    <w:rsid w:val="003F0725"/>
    <w:rsid w:val="003F35B9"/>
    <w:rsid w:val="004011EC"/>
    <w:rsid w:val="0040323D"/>
    <w:rsid w:val="00403FE6"/>
    <w:rsid w:val="00404964"/>
    <w:rsid w:val="00407DA5"/>
    <w:rsid w:val="00407F92"/>
    <w:rsid w:val="00420B24"/>
    <w:rsid w:val="00420CDE"/>
    <w:rsid w:val="00421F81"/>
    <w:rsid w:val="004235B8"/>
    <w:rsid w:val="00424DFF"/>
    <w:rsid w:val="00425AB0"/>
    <w:rsid w:val="00433EB2"/>
    <w:rsid w:val="0043640D"/>
    <w:rsid w:val="004401F5"/>
    <w:rsid w:val="00444F47"/>
    <w:rsid w:val="004474F3"/>
    <w:rsid w:val="00453EA8"/>
    <w:rsid w:val="004544FA"/>
    <w:rsid w:val="00457D19"/>
    <w:rsid w:val="00460372"/>
    <w:rsid w:val="0046447D"/>
    <w:rsid w:val="00470886"/>
    <w:rsid w:val="00472988"/>
    <w:rsid w:val="00472AB3"/>
    <w:rsid w:val="004737CF"/>
    <w:rsid w:val="00477EBA"/>
    <w:rsid w:val="004851B3"/>
    <w:rsid w:val="004916C3"/>
    <w:rsid w:val="0049214E"/>
    <w:rsid w:val="004938D9"/>
    <w:rsid w:val="004A6832"/>
    <w:rsid w:val="004B3259"/>
    <w:rsid w:val="004B4A39"/>
    <w:rsid w:val="004B62FE"/>
    <w:rsid w:val="004B63F6"/>
    <w:rsid w:val="004C10DE"/>
    <w:rsid w:val="004C4740"/>
    <w:rsid w:val="004C5EB9"/>
    <w:rsid w:val="004C6E7F"/>
    <w:rsid w:val="004D253F"/>
    <w:rsid w:val="004D4CC1"/>
    <w:rsid w:val="004D60BB"/>
    <w:rsid w:val="004E408D"/>
    <w:rsid w:val="004E7F8D"/>
    <w:rsid w:val="004F1062"/>
    <w:rsid w:val="004F7DAC"/>
    <w:rsid w:val="00502CE4"/>
    <w:rsid w:val="00502F34"/>
    <w:rsid w:val="00503D8C"/>
    <w:rsid w:val="00504B7B"/>
    <w:rsid w:val="0050651B"/>
    <w:rsid w:val="00514659"/>
    <w:rsid w:val="00515DC0"/>
    <w:rsid w:val="00521D70"/>
    <w:rsid w:val="00526375"/>
    <w:rsid w:val="00530275"/>
    <w:rsid w:val="005305F6"/>
    <w:rsid w:val="0053471B"/>
    <w:rsid w:val="00535D72"/>
    <w:rsid w:val="00542885"/>
    <w:rsid w:val="00552058"/>
    <w:rsid w:val="00552670"/>
    <w:rsid w:val="00554E91"/>
    <w:rsid w:val="0055665E"/>
    <w:rsid w:val="0056032E"/>
    <w:rsid w:val="00561BBA"/>
    <w:rsid w:val="00565002"/>
    <w:rsid w:val="00566C2C"/>
    <w:rsid w:val="00573562"/>
    <w:rsid w:val="00574E98"/>
    <w:rsid w:val="00576DC4"/>
    <w:rsid w:val="00582716"/>
    <w:rsid w:val="005841EA"/>
    <w:rsid w:val="00584910"/>
    <w:rsid w:val="0058597E"/>
    <w:rsid w:val="00586AC1"/>
    <w:rsid w:val="00587757"/>
    <w:rsid w:val="005920CF"/>
    <w:rsid w:val="005926ED"/>
    <w:rsid w:val="005940A0"/>
    <w:rsid w:val="00595E2D"/>
    <w:rsid w:val="005A28E9"/>
    <w:rsid w:val="005A5D58"/>
    <w:rsid w:val="005A6DCB"/>
    <w:rsid w:val="005A6EFC"/>
    <w:rsid w:val="005B0A53"/>
    <w:rsid w:val="005B10A9"/>
    <w:rsid w:val="005B37F5"/>
    <w:rsid w:val="005B6518"/>
    <w:rsid w:val="005C3D77"/>
    <w:rsid w:val="005D012F"/>
    <w:rsid w:val="005D4F65"/>
    <w:rsid w:val="005D521A"/>
    <w:rsid w:val="005E0592"/>
    <w:rsid w:val="005E35CA"/>
    <w:rsid w:val="005F5EF7"/>
    <w:rsid w:val="005F66F7"/>
    <w:rsid w:val="005F7647"/>
    <w:rsid w:val="00611622"/>
    <w:rsid w:val="00611C54"/>
    <w:rsid w:val="00613664"/>
    <w:rsid w:val="00613D30"/>
    <w:rsid w:val="00615110"/>
    <w:rsid w:val="00615CEA"/>
    <w:rsid w:val="00615E8F"/>
    <w:rsid w:val="00622303"/>
    <w:rsid w:val="0062480B"/>
    <w:rsid w:val="00624961"/>
    <w:rsid w:val="0063101C"/>
    <w:rsid w:val="006318A4"/>
    <w:rsid w:val="006323D4"/>
    <w:rsid w:val="00634CC0"/>
    <w:rsid w:val="006363EB"/>
    <w:rsid w:val="00637F6E"/>
    <w:rsid w:val="00640DB4"/>
    <w:rsid w:val="0064122C"/>
    <w:rsid w:val="00647B60"/>
    <w:rsid w:val="00650A69"/>
    <w:rsid w:val="00652E03"/>
    <w:rsid w:val="00655B4F"/>
    <w:rsid w:val="0065787B"/>
    <w:rsid w:val="006638EC"/>
    <w:rsid w:val="0066648F"/>
    <w:rsid w:val="00670FDD"/>
    <w:rsid w:val="00681F5F"/>
    <w:rsid w:val="00683885"/>
    <w:rsid w:val="00685088"/>
    <w:rsid w:val="0068533B"/>
    <w:rsid w:val="00685842"/>
    <w:rsid w:val="00687AA3"/>
    <w:rsid w:val="00696D3C"/>
    <w:rsid w:val="006A4E2A"/>
    <w:rsid w:val="006A5EEF"/>
    <w:rsid w:val="006B331F"/>
    <w:rsid w:val="006B616D"/>
    <w:rsid w:val="006B6599"/>
    <w:rsid w:val="006B77F6"/>
    <w:rsid w:val="006C0444"/>
    <w:rsid w:val="006C4F96"/>
    <w:rsid w:val="006C7CA7"/>
    <w:rsid w:val="006D141D"/>
    <w:rsid w:val="006D26F4"/>
    <w:rsid w:val="006D3F6C"/>
    <w:rsid w:val="006D679A"/>
    <w:rsid w:val="006E047E"/>
    <w:rsid w:val="006E224E"/>
    <w:rsid w:val="006F16DF"/>
    <w:rsid w:val="006F3366"/>
    <w:rsid w:val="00706BB5"/>
    <w:rsid w:val="00706F81"/>
    <w:rsid w:val="00706FC4"/>
    <w:rsid w:val="00711ED7"/>
    <w:rsid w:val="0071316B"/>
    <w:rsid w:val="00714B54"/>
    <w:rsid w:val="00716E7D"/>
    <w:rsid w:val="00724528"/>
    <w:rsid w:val="00725C16"/>
    <w:rsid w:val="00726010"/>
    <w:rsid w:val="00731066"/>
    <w:rsid w:val="0073482F"/>
    <w:rsid w:val="00743A80"/>
    <w:rsid w:val="0074517D"/>
    <w:rsid w:val="00747EB0"/>
    <w:rsid w:val="00755F9A"/>
    <w:rsid w:val="0076191C"/>
    <w:rsid w:val="0076704C"/>
    <w:rsid w:val="007677BC"/>
    <w:rsid w:val="0077051F"/>
    <w:rsid w:val="00770811"/>
    <w:rsid w:val="007761FE"/>
    <w:rsid w:val="00777920"/>
    <w:rsid w:val="007816DC"/>
    <w:rsid w:val="00781875"/>
    <w:rsid w:val="00781CD3"/>
    <w:rsid w:val="00782001"/>
    <w:rsid w:val="00790EBC"/>
    <w:rsid w:val="007910C9"/>
    <w:rsid w:val="007913E0"/>
    <w:rsid w:val="0079260E"/>
    <w:rsid w:val="00793B58"/>
    <w:rsid w:val="00793CFA"/>
    <w:rsid w:val="007970E2"/>
    <w:rsid w:val="007A7446"/>
    <w:rsid w:val="007B005D"/>
    <w:rsid w:val="007B78E5"/>
    <w:rsid w:val="007B7E5E"/>
    <w:rsid w:val="007C088F"/>
    <w:rsid w:val="007C174F"/>
    <w:rsid w:val="007C2AC2"/>
    <w:rsid w:val="007C4703"/>
    <w:rsid w:val="007D121A"/>
    <w:rsid w:val="007D24FD"/>
    <w:rsid w:val="007D389D"/>
    <w:rsid w:val="007E003C"/>
    <w:rsid w:val="007E0E30"/>
    <w:rsid w:val="007E3091"/>
    <w:rsid w:val="007E5319"/>
    <w:rsid w:val="007E58B2"/>
    <w:rsid w:val="007E5A70"/>
    <w:rsid w:val="007F1C1E"/>
    <w:rsid w:val="007F4625"/>
    <w:rsid w:val="007F4ED8"/>
    <w:rsid w:val="008005A6"/>
    <w:rsid w:val="00802324"/>
    <w:rsid w:val="00805E03"/>
    <w:rsid w:val="008129B8"/>
    <w:rsid w:val="00816FE4"/>
    <w:rsid w:val="00817032"/>
    <w:rsid w:val="008247E0"/>
    <w:rsid w:val="008259DF"/>
    <w:rsid w:val="00827B36"/>
    <w:rsid w:val="008319FC"/>
    <w:rsid w:val="00833FBC"/>
    <w:rsid w:val="00834874"/>
    <w:rsid w:val="00837A83"/>
    <w:rsid w:val="008410C8"/>
    <w:rsid w:val="00844A30"/>
    <w:rsid w:val="00852707"/>
    <w:rsid w:val="00854089"/>
    <w:rsid w:val="00854E60"/>
    <w:rsid w:val="00860275"/>
    <w:rsid w:val="00860862"/>
    <w:rsid w:val="008622B9"/>
    <w:rsid w:val="008724D6"/>
    <w:rsid w:val="0087740D"/>
    <w:rsid w:val="00877F02"/>
    <w:rsid w:val="0088389A"/>
    <w:rsid w:val="008854D3"/>
    <w:rsid w:val="00885A29"/>
    <w:rsid w:val="00892486"/>
    <w:rsid w:val="008935F9"/>
    <w:rsid w:val="008A1845"/>
    <w:rsid w:val="008A24E0"/>
    <w:rsid w:val="008A3AC0"/>
    <w:rsid w:val="008A443B"/>
    <w:rsid w:val="008A5743"/>
    <w:rsid w:val="008B0BC9"/>
    <w:rsid w:val="008B575B"/>
    <w:rsid w:val="008B5B0E"/>
    <w:rsid w:val="008C58F0"/>
    <w:rsid w:val="008C60F0"/>
    <w:rsid w:val="008C793B"/>
    <w:rsid w:val="008D0B45"/>
    <w:rsid w:val="008D4929"/>
    <w:rsid w:val="008E137B"/>
    <w:rsid w:val="008E1FF1"/>
    <w:rsid w:val="008E2231"/>
    <w:rsid w:val="008F293B"/>
    <w:rsid w:val="008F48F7"/>
    <w:rsid w:val="008F4A3B"/>
    <w:rsid w:val="008F5386"/>
    <w:rsid w:val="008F7012"/>
    <w:rsid w:val="008F75A0"/>
    <w:rsid w:val="00902407"/>
    <w:rsid w:val="00904ED1"/>
    <w:rsid w:val="00914938"/>
    <w:rsid w:val="00917941"/>
    <w:rsid w:val="0092213E"/>
    <w:rsid w:val="00930863"/>
    <w:rsid w:val="00931972"/>
    <w:rsid w:val="00931D3F"/>
    <w:rsid w:val="0093214E"/>
    <w:rsid w:val="00935A5F"/>
    <w:rsid w:val="00954CC5"/>
    <w:rsid w:val="00960674"/>
    <w:rsid w:val="009701F3"/>
    <w:rsid w:val="0097073A"/>
    <w:rsid w:val="009744F7"/>
    <w:rsid w:val="009766A9"/>
    <w:rsid w:val="00977A74"/>
    <w:rsid w:val="00981398"/>
    <w:rsid w:val="00985EE9"/>
    <w:rsid w:val="00986873"/>
    <w:rsid w:val="009A21FA"/>
    <w:rsid w:val="009A247A"/>
    <w:rsid w:val="009A50A1"/>
    <w:rsid w:val="009B137E"/>
    <w:rsid w:val="009B14A5"/>
    <w:rsid w:val="009B1EC6"/>
    <w:rsid w:val="009B5ED2"/>
    <w:rsid w:val="009B669A"/>
    <w:rsid w:val="009C08E6"/>
    <w:rsid w:val="009C1EB8"/>
    <w:rsid w:val="009D164B"/>
    <w:rsid w:val="009D24F5"/>
    <w:rsid w:val="009D373C"/>
    <w:rsid w:val="009D4293"/>
    <w:rsid w:val="009D4CBB"/>
    <w:rsid w:val="009D4EFE"/>
    <w:rsid w:val="009E01E1"/>
    <w:rsid w:val="009E5A10"/>
    <w:rsid w:val="009F0F63"/>
    <w:rsid w:val="009F1C1C"/>
    <w:rsid w:val="00A03396"/>
    <w:rsid w:val="00A043A5"/>
    <w:rsid w:val="00A068CF"/>
    <w:rsid w:val="00A121C5"/>
    <w:rsid w:val="00A15304"/>
    <w:rsid w:val="00A17C0F"/>
    <w:rsid w:val="00A20DAE"/>
    <w:rsid w:val="00A33351"/>
    <w:rsid w:val="00A43DE4"/>
    <w:rsid w:val="00A47CBA"/>
    <w:rsid w:val="00A50053"/>
    <w:rsid w:val="00A6784A"/>
    <w:rsid w:val="00A70AA8"/>
    <w:rsid w:val="00A70B47"/>
    <w:rsid w:val="00A728F2"/>
    <w:rsid w:val="00A733F5"/>
    <w:rsid w:val="00A73B80"/>
    <w:rsid w:val="00A74D6C"/>
    <w:rsid w:val="00A76675"/>
    <w:rsid w:val="00A776B4"/>
    <w:rsid w:val="00A817F3"/>
    <w:rsid w:val="00A8183B"/>
    <w:rsid w:val="00A91506"/>
    <w:rsid w:val="00AA00A4"/>
    <w:rsid w:val="00AA24B5"/>
    <w:rsid w:val="00AA2C84"/>
    <w:rsid w:val="00AA50B3"/>
    <w:rsid w:val="00AA5158"/>
    <w:rsid w:val="00AA7375"/>
    <w:rsid w:val="00AB418C"/>
    <w:rsid w:val="00AC5788"/>
    <w:rsid w:val="00AC5ABC"/>
    <w:rsid w:val="00AD36E3"/>
    <w:rsid w:val="00AD655D"/>
    <w:rsid w:val="00AD75D5"/>
    <w:rsid w:val="00AE33C2"/>
    <w:rsid w:val="00AE34DA"/>
    <w:rsid w:val="00AE41A1"/>
    <w:rsid w:val="00AE576E"/>
    <w:rsid w:val="00AF0C4E"/>
    <w:rsid w:val="00AF3B6B"/>
    <w:rsid w:val="00AF3F70"/>
    <w:rsid w:val="00AF552E"/>
    <w:rsid w:val="00B00338"/>
    <w:rsid w:val="00B00B6A"/>
    <w:rsid w:val="00B055AE"/>
    <w:rsid w:val="00B06631"/>
    <w:rsid w:val="00B07353"/>
    <w:rsid w:val="00B073E3"/>
    <w:rsid w:val="00B10D68"/>
    <w:rsid w:val="00B16181"/>
    <w:rsid w:val="00B206CB"/>
    <w:rsid w:val="00B25C43"/>
    <w:rsid w:val="00B27BEF"/>
    <w:rsid w:val="00B3543F"/>
    <w:rsid w:val="00B37B14"/>
    <w:rsid w:val="00B44F41"/>
    <w:rsid w:val="00B5021A"/>
    <w:rsid w:val="00B50A50"/>
    <w:rsid w:val="00B520DD"/>
    <w:rsid w:val="00B54D4A"/>
    <w:rsid w:val="00B57A81"/>
    <w:rsid w:val="00B64353"/>
    <w:rsid w:val="00B74F27"/>
    <w:rsid w:val="00B8418A"/>
    <w:rsid w:val="00B92BC6"/>
    <w:rsid w:val="00BA0E24"/>
    <w:rsid w:val="00BA386F"/>
    <w:rsid w:val="00BB02DB"/>
    <w:rsid w:val="00BB7A3E"/>
    <w:rsid w:val="00BC1DC1"/>
    <w:rsid w:val="00BC4670"/>
    <w:rsid w:val="00BD2B6C"/>
    <w:rsid w:val="00BD34A8"/>
    <w:rsid w:val="00BD4710"/>
    <w:rsid w:val="00BD6B9B"/>
    <w:rsid w:val="00BD70DA"/>
    <w:rsid w:val="00BE022C"/>
    <w:rsid w:val="00BE38F9"/>
    <w:rsid w:val="00BF064D"/>
    <w:rsid w:val="00BF2467"/>
    <w:rsid w:val="00BF274C"/>
    <w:rsid w:val="00BF5FDB"/>
    <w:rsid w:val="00BF692D"/>
    <w:rsid w:val="00BF7900"/>
    <w:rsid w:val="00C005CF"/>
    <w:rsid w:val="00C00FA3"/>
    <w:rsid w:val="00C16F37"/>
    <w:rsid w:val="00C21628"/>
    <w:rsid w:val="00C245EE"/>
    <w:rsid w:val="00C24763"/>
    <w:rsid w:val="00C25266"/>
    <w:rsid w:val="00C25BB0"/>
    <w:rsid w:val="00C26601"/>
    <w:rsid w:val="00C35022"/>
    <w:rsid w:val="00C35EFE"/>
    <w:rsid w:val="00C43751"/>
    <w:rsid w:val="00C446D9"/>
    <w:rsid w:val="00C45392"/>
    <w:rsid w:val="00C45EEC"/>
    <w:rsid w:val="00C4757E"/>
    <w:rsid w:val="00C50F08"/>
    <w:rsid w:val="00C5281A"/>
    <w:rsid w:val="00C562DC"/>
    <w:rsid w:val="00C568D1"/>
    <w:rsid w:val="00C62E60"/>
    <w:rsid w:val="00C64C8A"/>
    <w:rsid w:val="00C71059"/>
    <w:rsid w:val="00C71A37"/>
    <w:rsid w:val="00C71B86"/>
    <w:rsid w:val="00C75EA4"/>
    <w:rsid w:val="00C768A5"/>
    <w:rsid w:val="00C802BC"/>
    <w:rsid w:val="00C90531"/>
    <w:rsid w:val="00C9484C"/>
    <w:rsid w:val="00C976C3"/>
    <w:rsid w:val="00CA215B"/>
    <w:rsid w:val="00CA3750"/>
    <w:rsid w:val="00CA3B9C"/>
    <w:rsid w:val="00CA746D"/>
    <w:rsid w:val="00CB328F"/>
    <w:rsid w:val="00CB4D9D"/>
    <w:rsid w:val="00CB53CA"/>
    <w:rsid w:val="00CC0D31"/>
    <w:rsid w:val="00CC1D8D"/>
    <w:rsid w:val="00CC2BCB"/>
    <w:rsid w:val="00CC3DCD"/>
    <w:rsid w:val="00CD1FB7"/>
    <w:rsid w:val="00CD266C"/>
    <w:rsid w:val="00CD7D08"/>
    <w:rsid w:val="00CE0A43"/>
    <w:rsid w:val="00CF02AD"/>
    <w:rsid w:val="00CF039A"/>
    <w:rsid w:val="00CF4B40"/>
    <w:rsid w:val="00CF4F20"/>
    <w:rsid w:val="00CF6F34"/>
    <w:rsid w:val="00D2203A"/>
    <w:rsid w:val="00D25595"/>
    <w:rsid w:val="00D27DE3"/>
    <w:rsid w:val="00D31F44"/>
    <w:rsid w:val="00D3787A"/>
    <w:rsid w:val="00D444DB"/>
    <w:rsid w:val="00D50312"/>
    <w:rsid w:val="00D51E1C"/>
    <w:rsid w:val="00D53592"/>
    <w:rsid w:val="00D55873"/>
    <w:rsid w:val="00D62C00"/>
    <w:rsid w:val="00D64689"/>
    <w:rsid w:val="00D67AEA"/>
    <w:rsid w:val="00D702A9"/>
    <w:rsid w:val="00D70D92"/>
    <w:rsid w:val="00D71B99"/>
    <w:rsid w:val="00D72EBF"/>
    <w:rsid w:val="00D80A65"/>
    <w:rsid w:val="00D80E76"/>
    <w:rsid w:val="00D87436"/>
    <w:rsid w:val="00D91D8E"/>
    <w:rsid w:val="00D936BE"/>
    <w:rsid w:val="00DA014F"/>
    <w:rsid w:val="00DA0BDC"/>
    <w:rsid w:val="00DA1EC9"/>
    <w:rsid w:val="00DA24EC"/>
    <w:rsid w:val="00DA2AA1"/>
    <w:rsid w:val="00DA4E56"/>
    <w:rsid w:val="00DA5FE5"/>
    <w:rsid w:val="00DB006E"/>
    <w:rsid w:val="00DB4915"/>
    <w:rsid w:val="00DB497C"/>
    <w:rsid w:val="00DB5E0D"/>
    <w:rsid w:val="00DC14FF"/>
    <w:rsid w:val="00DC154B"/>
    <w:rsid w:val="00DD09CB"/>
    <w:rsid w:val="00DD0B8C"/>
    <w:rsid w:val="00DD4E99"/>
    <w:rsid w:val="00DE027E"/>
    <w:rsid w:val="00DE105C"/>
    <w:rsid w:val="00DF0B6C"/>
    <w:rsid w:val="00DF6111"/>
    <w:rsid w:val="00DF64EF"/>
    <w:rsid w:val="00DF7733"/>
    <w:rsid w:val="00DF7899"/>
    <w:rsid w:val="00E00C46"/>
    <w:rsid w:val="00E011FD"/>
    <w:rsid w:val="00E05708"/>
    <w:rsid w:val="00E0722E"/>
    <w:rsid w:val="00E10B3B"/>
    <w:rsid w:val="00E13941"/>
    <w:rsid w:val="00E1572E"/>
    <w:rsid w:val="00E158A3"/>
    <w:rsid w:val="00E15F37"/>
    <w:rsid w:val="00E16E45"/>
    <w:rsid w:val="00E200A6"/>
    <w:rsid w:val="00E246F5"/>
    <w:rsid w:val="00E268FB"/>
    <w:rsid w:val="00E30092"/>
    <w:rsid w:val="00E33311"/>
    <w:rsid w:val="00E3458B"/>
    <w:rsid w:val="00E34B7F"/>
    <w:rsid w:val="00E412E4"/>
    <w:rsid w:val="00E42933"/>
    <w:rsid w:val="00E4548D"/>
    <w:rsid w:val="00E45963"/>
    <w:rsid w:val="00E56740"/>
    <w:rsid w:val="00E57679"/>
    <w:rsid w:val="00E61961"/>
    <w:rsid w:val="00E63FBE"/>
    <w:rsid w:val="00E70792"/>
    <w:rsid w:val="00E70F14"/>
    <w:rsid w:val="00E7382D"/>
    <w:rsid w:val="00E7694B"/>
    <w:rsid w:val="00E85524"/>
    <w:rsid w:val="00E87476"/>
    <w:rsid w:val="00E9048F"/>
    <w:rsid w:val="00E90BE6"/>
    <w:rsid w:val="00E9175E"/>
    <w:rsid w:val="00E946E2"/>
    <w:rsid w:val="00EA0F59"/>
    <w:rsid w:val="00EA23EF"/>
    <w:rsid w:val="00EA26CA"/>
    <w:rsid w:val="00EA7292"/>
    <w:rsid w:val="00EA7614"/>
    <w:rsid w:val="00EB147F"/>
    <w:rsid w:val="00EE0EDA"/>
    <w:rsid w:val="00EE1E3C"/>
    <w:rsid w:val="00EF6B7E"/>
    <w:rsid w:val="00EF70B8"/>
    <w:rsid w:val="00EF7549"/>
    <w:rsid w:val="00F006F1"/>
    <w:rsid w:val="00F04303"/>
    <w:rsid w:val="00F064AD"/>
    <w:rsid w:val="00F13A3A"/>
    <w:rsid w:val="00F1587F"/>
    <w:rsid w:val="00F2031C"/>
    <w:rsid w:val="00F25FEF"/>
    <w:rsid w:val="00F310AA"/>
    <w:rsid w:val="00F31F53"/>
    <w:rsid w:val="00F32DE3"/>
    <w:rsid w:val="00F41F8A"/>
    <w:rsid w:val="00F44CED"/>
    <w:rsid w:val="00F55EBA"/>
    <w:rsid w:val="00F568EF"/>
    <w:rsid w:val="00F56964"/>
    <w:rsid w:val="00F57451"/>
    <w:rsid w:val="00F60E6F"/>
    <w:rsid w:val="00F624EE"/>
    <w:rsid w:val="00F6265F"/>
    <w:rsid w:val="00F642FB"/>
    <w:rsid w:val="00F654E4"/>
    <w:rsid w:val="00F6604C"/>
    <w:rsid w:val="00F74D43"/>
    <w:rsid w:val="00F76D8D"/>
    <w:rsid w:val="00F82F13"/>
    <w:rsid w:val="00F83242"/>
    <w:rsid w:val="00F87810"/>
    <w:rsid w:val="00F900B6"/>
    <w:rsid w:val="00FA107B"/>
    <w:rsid w:val="00FB1A16"/>
    <w:rsid w:val="00FB4D66"/>
    <w:rsid w:val="00FB5D1A"/>
    <w:rsid w:val="00FC1CEC"/>
    <w:rsid w:val="00FC37A8"/>
    <w:rsid w:val="00FC6212"/>
    <w:rsid w:val="00FE0226"/>
    <w:rsid w:val="00FE092A"/>
    <w:rsid w:val="00FE22A4"/>
    <w:rsid w:val="00FE4453"/>
    <w:rsid w:val="00FF05D9"/>
    <w:rsid w:val="00FF191C"/>
    <w:rsid w:val="00FF1A52"/>
    <w:rsid w:val="00FF1EC1"/>
    <w:rsid w:val="00FF2F55"/>
    <w:rsid w:val="024B7267"/>
    <w:rsid w:val="04AD69BF"/>
    <w:rsid w:val="06284598"/>
    <w:rsid w:val="09BC72BE"/>
    <w:rsid w:val="0B434B9F"/>
    <w:rsid w:val="0F006971"/>
    <w:rsid w:val="0F633DD8"/>
    <w:rsid w:val="0FA9071C"/>
    <w:rsid w:val="1131738B"/>
    <w:rsid w:val="12275E7C"/>
    <w:rsid w:val="125E7D71"/>
    <w:rsid w:val="13454BB4"/>
    <w:rsid w:val="16BF2304"/>
    <w:rsid w:val="17812E00"/>
    <w:rsid w:val="189C277A"/>
    <w:rsid w:val="194B605F"/>
    <w:rsid w:val="1A0D1048"/>
    <w:rsid w:val="1AE230E0"/>
    <w:rsid w:val="1B9A2981"/>
    <w:rsid w:val="1BA51778"/>
    <w:rsid w:val="1C29359C"/>
    <w:rsid w:val="1D7F71F0"/>
    <w:rsid w:val="1D94148B"/>
    <w:rsid w:val="1E926704"/>
    <w:rsid w:val="1F245FAF"/>
    <w:rsid w:val="1FA87299"/>
    <w:rsid w:val="21E66B35"/>
    <w:rsid w:val="231B712A"/>
    <w:rsid w:val="237369F0"/>
    <w:rsid w:val="2470441F"/>
    <w:rsid w:val="27ED16BB"/>
    <w:rsid w:val="28EA6F67"/>
    <w:rsid w:val="2B245B06"/>
    <w:rsid w:val="2BAA49F1"/>
    <w:rsid w:val="2EC07B78"/>
    <w:rsid w:val="2EF03ED3"/>
    <w:rsid w:val="31D54EF7"/>
    <w:rsid w:val="31DD01FD"/>
    <w:rsid w:val="36877345"/>
    <w:rsid w:val="36D82E96"/>
    <w:rsid w:val="39396682"/>
    <w:rsid w:val="39C6404D"/>
    <w:rsid w:val="3A252089"/>
    <w:rsid w:val="3A33252A"/>
    <w:rsid w:val="3B5B1AF1"/>
    <w:rsid w:val="3C676A33"/>
    <w:rsid w:val="3C9F2778"/>
    <w:rsid w:val="40266152"/>
    <w:rsid w:val="41626179"/>
    <w:rsid w:val="42A6316B"/>
    <w:rsid w:val="42DA5E71"/>
    <w:rsid w:val="433C083F"/>
    <w:rsid w:val="44B65DD4"/>
    <w:rsid w:val="48EE671D"/>
    <w:rsid w:val="4A6C6E07"/>
    <w:rsid w:val="4A8E4F81"/>
    <w:rsid w:val="4B5F0273"/>
    <w:rsid w:val="4EB5120D"/>
    <w:rsid w:val="50BF2192"/>
    <w:rsid w:val="514B6222"/>
    <w:rsid w:val="52616530"/>
    <w:rsid w:val="52BD4598"/>
    <w:rsid w:val="54B91750"/>
    <w:rsid w:val="57DE41C5"/>
    <w:rsid w:val="58D01F73"/>
    <w:rsid w:val="58E033A2"/>
    <w:rsid w:val="5906026D"/>
    <w:rsid w:val="596361DB"/>
    <w:rsid w:val="5AE22BA9"/>
    <w:rsid w:val="5B5865FA"/>
    <w:rsid w:val="5CC57651"/>
    <w:rsid w:val="5FE93E00"/>
    <w:rsid w:val="609537BC"/>
    <w:rsid w:val="60D456C6"/>
    <w:rsid w:val="63AE6A7F"/>
    <w:rsid w:val="63D24F83"/>
    <w:rsid w:val="640537AA"/>
    <w:rsid w:val="645A1AFB"/>
    <w:rsid w:val="6A286352"/>
    <w:rsid w:val="6AB35C26"/>
    <w:rsid w:val="6AD3740D"/>
    <w:rsid w:val="6C3F0EC1"/>
    <w:rsid w:val="6CED4C1E"/>
    <w:rsid w:val="6D6816CF"/>
    <w:rsid w:val="6D74005D"/>
    <w:rsid w:val="6D82395B"/>
    <w:rsid w:val="6E867DB2"/>
    <w:rsid w:val="6ED90345"/>
    <w:rsid w:val="6F2C2DF2"/>
    <w:rsid w:val="72566C2E"/>
    <w:rsid w:val="738C6D2A"/>
    <w:rsid w:val="74217F56"/>
    <w:rsid w:val="74293084"/>
    <w:rsid w:val="747A736A"/>
    <w:rsid w:val="75127E9A"/>
    <w:rsid w:val="7C2851DE"/>
    <w:rsid w:val="7C666AC5"/>
    <w:rsid w:val="7CB5231D"/>
    <w:rsid w:val="7CE1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22B6D3"/>
  <w15:docId w15:val="{036B056A-F619-4E25-9062-FDFD63C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1"/>
    <w:qFormat/>
    <w:pPr>
      <w:jc w:val="left"/>
    </w:pPr>
  </w:style>
  <w:style w:type="paragraph" w:styleId="a5">
    <w:name w:val="Body Text"/>
    <w:basedOn w:val="a"/>
    <w:link w:val="a6"/>
    <w:qFormat/>
    <w:pPr>
      <w:spacing w:line="360" w:lineRule="auto"/>
    </w:pPr>
    <w:rPr>
      <w:rFonts w:ascii="仿宋_GB2312" w:eastAsia="仿宋_GB2312"/>
      <w:color w:val="000000"/>
      <w:kern w:val="0"/>
      <w:sz w:val="24"/>
      <w:szCs w:val="28"/>
    </w:rPr>
  </w:style>
  <w:style w:type="paragraph" w:styleId="a7">
    <w:name w:val="Body Text Indent"/>
    <w:basedOn w:val="a"/>
    <w:link w:val="a8"/>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9">
    <w:name w:val="Balloon Text"/>
    <w:basedOn w:val="a"/>
    <w:link w:val="aa"/>
    <w:semiHidden/>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annotation subject"/>
    <w:basedOn w:val="a4"/>
    <w:next w:val="a4"/>
    <w:link w:val="af1"/>
    <w:qFormat/>
    <w:rPr>
      <w:b/>
      <w:bCs/>
    </w:r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qFormat/>
    <w:rPr>
      <w:color w:val="0000FF"/>
      <w:u w:val="single"/>
    </w:rPr>
  </w:style>
  <w:style w:type="character" w:styleId="af6">
    <w:name w:val="annotation reference"/>
    <w:qFormat/>
    <w:rPr>
      <w:sz w:val="21"/>
      <w:szCs w:val="21"/>
    </w:rPr>
  </w:style>
  <w:style w:type="character" w:customStyle="1" w:styleId="20">
    <w:name w:val="标题 2 字符"/>
    <w:basedOn w:val="a1"/>
    <w:link w:val="2"/>
    <w:qFormat/>
    <w:rPr>
      <w:rFonts w:ascii="Arial" w:eastAsia="黑体" w:hAnsi="Arial" w:cs="Times New Roman"/>
      <w:b/>
      <w:sz w:val="32"/>
      <w:szCs w:val="20"/>
    </w:rPr>
  </w:style>
  <w:style w:type="character" w:customStyle="1" w:styleId="HTML0">
    <w:name w:val="HTML 预设格式 字符"/>
    <w:link w:val="HTML"/>
    <w:uiPriority w:val="99"/>
    <w:qFormat/>
    <w:rPr>
      <w:rFonts w:ascii="宋体" w:eastAsia="宋体" w:hAnsi="宋体" w:cs="宋体"/>
      <w:kern w:val="0"/>
      <w:sz w:val="24"/>
      <w:szCs w:val="24"/>
    </w:rPr>
  </w:style>
  <w:style w:type="character" w:customStyle="1" w:styleId="ac">
    <w:name w:val="页脚 字符"/>
    <w:link w:val="ab"/>
    <w:uiPriority w:val="99"/>
    <w:qFormat/>
    <w:rPr>
      <w:sz w:val="18"/>
      <w:szCs w:val="18"/>
    </w:rPr>
  </w:style>
  <w:style w:type="character" w:customStyle="1" w:styleId="aa">
    <w:name w:val="批注框文本 字符"/>
    <w:link w:val="a9"/>
    <w:semiHidden/>
    <w:qFormat/>
    <w:rPr>
      <w:rFonts w:ascii="Times New Roman" w:eastAsia="宋体" w:hAnsi="Times New Roman" w:cs="Times New Roman"/>
      <w:sz w:val="18"/>
      <w:szCs w:val="18"/>
    </w:rPr>
  </w:style>
  <w:style w:type="character" w:customStyle="1" w:styleId="af1">
    <w:name w:val="批注主题 字符"/>
    <w:link w:val="af0"/>
    <w:qFormat/>
    <w:rPr>
      <w:rFonts w:ascii="Times New Roman" w:eastAsia="宋体" w:hAnsi="Times New Roman" w:cs="Times New Roman"/>
      <w:b/>
      <w:bCs/>
      <w:szCs w:val="24"/>
    </w:rPr>
  </w:style>
  <w:style w:type="character" w:customStyle="1" w:styleId="a8">
    <w:name w:val="正文文本缩进 字符"/>
    <w:link w:val="a7"/>
    <w:qFormat/>
    <w:rPr>
      <w:rFonts w:ascii="Times New Roman" w:eastAsia="方正仿宋简体" w:hAnsi="Times New Roman" w:cs="Times New Roman"/>
      <w:sz w:val="24"/>
      <w:szCs w:val="30"/>
    </w:rPr>
  </w:style>
  <w:style w:type="character" w:customStyle="1" w:styleId="31">
    <w:name w:val="正文文本缩进 3 字符"/>
    <w:link w:val="30"/>
    <w:qFormat/>
    <w:rPr>
      <w:rFonts w:ascii="仿宋_GB2312" w:eastAsia="仿宋_GB2312" w:hAnsi="宋体" w:cs="Arial"/>
      <w:color w:val="000000"/>
      <w:sz w:val="24"/>
      <w:szCs w:val="24"/>
    </w:rPr>
  </w:style>
  <w:style w:type="character" w:customStyle="1" w:styleId="read">
    <w:name w:val="read"/>
    <w:basedOn w:val="a1"/>
    <w:qFormat/>
  </w:style>
  <w:style w:type="character" w:customStyle="1" w:styleId="22">
    <w:name w:val="正文文本缩进 2 字符"/>
    <w:link w:val="21"/>
    <w:qFormat/>
    <w:rPr>
      <w:rFonts w:ascii="宋体" w:eastAsia="宋体" w:hAnsi="宋体" w:cs="Times New Roman"/>
      <w:sz w:val="28"/>
      <w:szCs w:val="20"/>
    </w:rPr>
  </w:style>
  <w:style w:type="character" w:customStyle="1" w:styleId="a6">
    <w:name w:val="正文文本 字符"/>
    <w:link w:val="a5"/>
    <w:qFormat/>
    <w:rPr>
      <w:rFonts w:ascii="仿宋_GB2312" w:eastAsia="仿宋_GB2312" w:hAnsi="Times New Roman" w:cs="Times New Roman"/>
      <w:color w:val="000000"/>
      <w:kern w:val="0"/>
      <w:sz w:val="24"/>
      <w:szCs w:val="28"/>
    </w:rPr>
  </w:style>
  <w:style w:type="character" w:customStyle="1" w:styleId="1">
    <w:name w:val="批注文字 字符1"/>
    <w:link w:val="a4"/>
    <w:qFormat/>
    <w:rPr>
      <w:rFonts w:ascii="Times New Roman" w:eastAsia="宋体" w:hAnsi="Times New Roman" w:cs="Times New Roman"/>
      <w:szCs w:val="24"/>
    </w:rPr>
  </w:style>
  <w:style w:type="character" w:customStyle="1" w:styleId="ae">
    <w:name w:val="页眉 字符"/>
    <w:link w:val="ad"/>
    <w:uiPriority w:val="99"/>
    <w:qFormat/>
    <w:rPr>
      <w:sz w:val="18"/>
      <w:szCs w:val="18"/>
    </w:rPr>
  </w:style>
  <w:style w:type="character" w:customStyle="1" w:styleId="Char1">
    <w:name w:val="正文文本缩进 Char1"/>
    <w:basedOn w:val="a1"/>
    <w:uiPriority w:val="99"/>
    <w:semiHidden/>
    <w:qFormat/>
    <w:rPr>
      <w:rFonts w:ascii="Times New Roman" w:eastAsia="宋体" w:hAnsi="Times New Roman" w:cs="Times New Roman"/>
      <w:szCs w:val="24"/>
    </w:rPr>
  </w:style>
  <w:style w:type="character" w:customStyle="1" w:styleId="Char10">
    <w:name w:val="批注框文本 Char1"/>
    <w:basedOn w:val="a1"/>
    <w:uiPriority w:val="99"/>
    <w:semiHidden/>
    <w:qFormat/>
    <w:rPr>
      <w:rFonts w:ascii="Times New Roman" w:eastAsia="宋体" w:hAnsi="Times New Roman" w:cs="Times New Roman"/>
      <w:sz w:val="18"/>
      <w:szCs w:val="18"/>
    </w:rPr>
  </w:style>
  <w:style w:type="character" w:customStyle="1" w:styleId="Char11">
    <w:name w:val="正文文本 Char1"/>
    <w:basedOn w:val="a1"/>
    <w:uiPriority w:val="99"/>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character" w:customStyle="1" w:styleId="Char12">
    <w:name w:val="批注文字 Char1"/>
    <w:basedOn w:val="a1"/>
    <w:uiPriority w:val="99"/>
    <w:semiHidden/>
    <w:qFormat/>
    <w:rPr>
      <w:rFonts w:ascii="Times New Roman" w:eastAsia="宋体" w:hAnsi="Times New Roman" w:cs="Times New Roman"/>
      <w:szCs w:val="24"/>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paragraph" w:customStyle="1" w:styleId="11">
    <w:name w:val="修订1"/>
    <w:uiPriority w:val="99"/>
    <w:semiHidden/>
    <w:qFormat/>
    <w:rPr>
      <w:kern w:val="2"/>
      <w:sz w:val="21"/>
      <w:szCs w:val="24"/>
    </w:rPr>
  </w:style>
  <w:style w:type="paragraph" w:customStyle="1" w:styleId="CharCharChar">
    <w:name w:val="Char Char Char"/>
    <w:basedOn w:val="a"/>
    <w:qFormat/>
  </w:style>
  <w:style w:type="paragraph" w:customStyle="1" w:styleId="Char">
    <w:name w:val="Char"/>
    <w:basedOn w:val="a"/>
    <w:qFormat/>
  </w:style>
  <w:style w:type="character" w:customStyle="1" w:styleId="Char13">
    <w:name w:val="页眉 Char1"/>
    <w:basedOn w:val="a1"/>
    <w:uiPriority w:val="99"/>
    <w:semiHidden/>
    <w:qFormat/>
    <w:rPr>
      <w:rFonts w:ascii="Times New Roman" w:eastAsia="宋体" w:hAnsi="Times New Roman" w:cs="Times New Roman"/>
      <w:sz w:val="18"/>
      <w:szCs w:val="18"/>
    </w:rPr>
  </w:style>
  <w:style w:type="character" w:customStyle="1" w:styleId="Char14">
    <w:name w:val="页脚 Char1"/>
    <w:basedOn w:val="a1"/>
    <w:uiPriority w:val="99"/>
    <w:semiHidden/>
    <w:qFormat/>
    <w:rPr>
      <w:rFonts w:ascii="Times New Roman" w:eastAsia="宋体" w:hAnsi="Times New Roman" w:cs="Times New Roman"/>
      <w:sz w:val="18"/>
      <w:szCs w:val="18"/>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Char15">
    <w:name w:val="批注主题 Char1"/>
    <w:basedOn w:val="Char12"/>
    <w:uiPriority w:val="99"/>
    <w:semiHidden/>
    <w:qFormat/>
    <w:rPr>
      <w:rFonts w:ascii="Times New Roman" w:eastAsia="宋体" w:hAnsi="Times New Roman" w:cs="Times New Roman"/>
      <w:b/>
      <w:bCs/>
      <w:szCs w:val="24"/>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6">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Pr>
      <w:szCs w:val="20"/>
    </w:rPr>
  </w:style>
  <w:style w:type="paragraph" w:customStyle="1" w:styleId="24">
    <w:name w:val="修订2"/>
    <w:hidden/>
    <w:uiPriority w:val="99"/>
    <w:semiHidden/>
    <w:qFormat/>
    <w:rPr>
      <w:kern w:val="2"/>
      <w:sz w:val="21"/>
      <w:szCs w:val="24"/>
    </w:rPr>
  </w:style>
  <w:style w:type="character" w:customStyle="1" w:styleId="Char0">
    <w:name w:val="批注文字 Char"/>
    <w:uiPriority w:val="99"/>
    <w:qFormat/>
    <w:rPr>
      <w:kern w:val="2"/>
      <w:sz w:val="21"/>
    </w:rPr>
  </w:style>
  <w:style w:type="paragraph" w:customStyle="1" w:styleId="32">
    <w:name w:val="修订3"/>
    <w:hidden/>
    <w:uiPriority w:val="99"/>
    <w:semiHidden/>
    <w:rPr>
      <w:kern w:val="2"/>
      <w:sz w:val="21"/>
      <w:szCs w:val="24"/>
    </w:rPr>
  </w:style>
  <w:style w:type="character" w:customStyle="1" w:styleId="af7">
    <w:name w:val="批注文字 字符"/>
    <w:qFormat/>
    <w:rPr>
      <w:rFonts w:ascii="Times New Roman" w:hAnsi="Times New Roman"/>
      <w:kern w:val="2"/>
      <w:sz w:val="21"/>
    </w:rPr>
  </w:style>
  <w:style w:type="paragraph" w:styleId="af8">
    <w:name w:val="Revision"/>
    <w:hidden/>
    <w:uiPriority w:val="99"/>
    <w:semiHidden/>
    <w:rsid w:val="007B7E5E"/>
    <w:rPr>
      <w:kern w:val="2"/>
      <w:sz w:val="21"/>
      <w:szCs w:val="24"/>
    </w:rPr>
  </w:style>
  <w:style w:type="paragraph" w:styleId="af9">
    <w:name w:val="List Paragraph"/>
    <w:basedOn w:val="a"/>
    <w:uiPriority w:val="34"/>
    <w:qFormat/>
    <w:rsid w:val="00AA50B3"/>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84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826C-68E6-40CD-9130-F31F9787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5365</Words>
  <Characters>30585</Characters>
  <Application>Microsoft Office Word</Application>
  <DocSecurity>0</DocSecurity>
  <Lines>254</Lines>
  <Paragraphs>71</Paragraphs>
  <ScaleCrop>false</ScaleCrop>
  <Company>神州网信技术有限公司</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项新月</dc:creator>
  <cp:lastModifiedBy>项新月</cp:lastModifiedBy>
  <cp:revision>7</cp:revision>
  <cp:lastPrinted>2023-11-06T00:43:00Z</cp:lastPrinted>
  <dcterms:created xsi:type="dcterms:W3CDTF">2023-05-25T03:14:00Z</dcterms:created>
  <dcterms:modified xsi:type="dcterms:W3CDTF">2023-11-06T00:43:00Z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ACABC85A7426444EA0CE4EC2B2A33B1D</vt:lpwstr>
  </property>
</Properties>
</file>